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4394"/>
      </w:tblGrid>
      <w:tr w:rsidR="00282615" w14:paraId="32AD56BA" w14:textId="77777777" w:rsidTr="00747FD4">
        <w:tc>
          <w:tcPr>
            <w:tcW w:w="2547" w:type="dxa"/>
          </w:tcPr>
          <w:p w14:paraId="1AF73D60" w14:textId="77777777" w:rsidR="00282615" w:rsidRDefault="00282615" w:rsidP="005E7415">
            <w:pPr>
              <w:jc w:val="left"/>
              <w:rPr>
                <w:b/>
              </w:rPr>
            </w:pPr>
            <w:r>
              <w:rPr>
                <w:b/>
              </w:rPr>
              <w:t>Type of document</w:t>
            </w:r>
          </w:p>
        </w:tc>
        <w:tc>
          <w:tcPr>
            <w:tcW w:w="4394" w:type="dxa"/>
          </w:tcPr>
          <w:p w14:paraId="19FA4ECA" w14:textId="77777777" w:rsidR="00282615" w:rsidRPr="007E26D2" w:rsidRDefault="00E37E84" w:rsidP="00CB6B33">
            <w:r>
              <w:t>Policy</w:t>
            </w:r>
          </w:p>
        </w:tc>
      </w:tr>
      <w:tr w:rsidR="00600F05" w14:paraId="62CC8B30" w14:textId="77777777" w:rsidTr="00747FD4">
        <w:tc>
          <w:tcPr>
            <w:tcW w:w="2547" w:type="dxa"/>
          </w:tcPr>
          <w:p w14:paraId="3EE4F204" w14:textId="77777777" w:rsidR="00600F05" w:rsidRDefault="00C04D15" w:rsidP="00600F05">
            <w:pPr>
              <w:rPr>
                <w:b/>
              </w:rPr>
            </w:pPr>
            <w:r>
              <w:rPr>
                <w:b/>
              </w:rPr>
              <w:t>Title</w:t>
            </w:r>
          </w:p>
        </w:tc>
        <w:tc>
          <w:tcPr>
            <w:tcW w:w="4394" w:type="dxa"/>
          </w:tcPr>
          <w:p w14:paraId="70255220" w14:textId="77777777" w:rsidR="00600F05" w:rsidRPr="007E26D2" w:rsidRDefault="00B83B4C" w:rsidP="00B83B4C">
            <w:r>
              <w:t>Student</w:t>
            </w:r>
            <w:r w:rsidR="00E37E84">
              <w:t xml:space="preserve"> Data Quality Policy</w:t>
            </w:r>
          </w:p>
        </w:tc>
      </w:tr>
      <w:tr w:rsidR="00600F05" w14:paraId="20E7B5D7" w14:textId="77777777" w:rsidTr="00747FD4">
        <w:tc>
          <w:tcPr>
            <w:tcW w:w="2547" w:type="dxa"/>
          </w:tcPr>
          <w:p w14:paraId="5C048A20" w14:textId="77777777" w:rsidR="00600F05" w:rsidRDefault="00C04D15" w:rsidP="00600F05">
            <w:pPr>
              <w:rPr>
                <w:b/>
              </w:rPr>
            </w:pPr>
            <w:r>
              <w:rPr>
                <w:b/>
              </w:rPr>
              <w:t>Author</w:t>
            </w:r>
          </w:p>
        </w:tc>
        <w:tc>
          <w:tcPr>
            <w:tcW w:w="4394" w:type="dxa"/>
          </w:tcPr>
          <w:p w14:paraId="3533D7B9" w14:textId="77777777" w:rsidR="00600F05" w:rsidRPr="007E26D2" w:rsidRDefault="00B83B4C" w:rsidP="00F14897">
            <w:r>
              <w:t>Head of Student Records</w:t>
            </w:r>
          </w:p>
        </w:tc>
      </w:tr>
      <w:tr w:rsidR="00C04D15" w14:paraId="559196FF" w14:textId="77777777" w:rsidTr="00747FD4">
        <w:tc>
          <w:tcPr>
            <w:tcW w:w="2547" w:type="dxa"/>
          </w:tcPr>
          <w:p w14:paraId="7437C694" w14:textId="77777777" w:rsidR="00C04D15" w:rsidRDefault="00C04D15" w:rsidP="005E7415">
            <w:pPr>
              <w:rPr>
                <w:b/>
              </w:rPr>
            </w:pPr>
            <w:r>
              <w:rPr>
                <w:b/>
              </w:rPr>
              <w:t>Document status</w:t>
            </w:r>
          </w:p>
        </w:tc>
        <w:tc>
          <w:tcPr>
            <w:tcW w:w="4394" w:type="dxa"/>
          </w:tcPr>
          <w:p w14:paraId="1ACA14ED" w14:textId="63FA1EE5" w:rsidR="00C04D15" w:rsidRPr="007E26D2" w:rsidRDefault="00EB4838" w:rsidP="00F14897">
            <w:r>
              <w:t>Final</w:t>
            </w:r>
          </w:p>
        </w:tc>
      </w:tr>
      <w:tr w:rsidR="00C04D15" w14:paraId="1FD327B0" w14:textId="77777777" w:rsidTr="00747FD4">
        <w:tc>
          <w:tcPr>
            <w:tcW w:w="2547" w:type="dxa"/>
          </w:tcPr>
          <w:p w14:paraId="4D5A98BE" w14:textId="77777777" w:rsidR="00C04D15" w:rsidRDefault="00C04D15" w:rsidP="00600F05">
            <w:pPr>
              <w:rPr>
                <w:b/>
              </w:rPr>
            </w:pPr>
            <w:r>
              <w:rPr>
                <w:b/>
              </w:rPr>
              <w:t>Next review</w:t>
            </w:r>
            <w:r w:rsidR="00C1139D">
              <w:rPr>
                <w:b/>
              </w:rPr>
              <w:t xml:space="preserve"> date</w:t>
            </w:r>
          </w:p>
        </w:tc>
        <w:tc>
          <w:tcPr>
            <w:tcW w:w="4394" w:type="dxa"/>
          </w:tcPr>
          <w:p w14:paraId="27A27E47" w14:textId="475422DF" w:rsidR="00C04D15" w:rsidRPr="007E26D2" w:rsidRDefault="00387019" w:rsidP="00A01566">
            <w:r>
              <w:t xml:space="preserve">May </w:t>
            </w:r>
            <w:r w:rsidR="001C5940">
              <w:t>202</w:t>
            </w:r>
            <w:r w:rsidR="00D50302">
              <w:t>2</w:t>
            </w:r>
          </w:p>
        </w:tc>
      </w:tr>
      <w:tr w:rsidR="00600F05" w14:paraId="0A794223" w14:textId="77777777" w:rsidTr="00747FD4">
        <w:tc>
          <w:tcPr>
            <w:tcW w:w="2547" w:type="dxa"/>
          </w:tcPr>
          <w:p w14:paraId="02A63FC4" w14:textId="77777777" w:rsidR="00600F05" w:rsidRDefault="00600F05" w:rsidP="005E7415">
            <w:pPr>
              <w:rPr>
                <w:b/>
              </w:rPr>
            </w:pPr>
            <w:r>
              <w:rPr>
                <w:b/>
              </w:rPr>
              <w:t>Security level</w:t>
            </w:r>
          </w:p>
        </w:tc>
        <w:tc>
          <w:tcPr>
            <w:tcW w:w="4394" w:type="dxa"/>
          </w:tcPr>
          <w:p w14:paraId="3EE8F7DA" w14:textId="77777777" w:rsidR="00600F05" w:rsidRPr="007E26D2" w:rsidRDefault="00E37E84" w:rsidP="00600F05">
            <w:r>
              <w:t>Public</w:t>
            </w:r>
          </w:p>
        </w:tc>
      </w:tr>
      <w:tr w:rsidR="009827D5" w14:paraId="12C745E4" w14:textId="77777777" w:rsidTr="00747FD4">
        <w:tc>
          <w:tcPr>
            <w:tcW w:w="2547" w:type="dxa"/>
          </w:tcPr>
          <w:p w14:paraId="68EAFE52" w14:textId="77777777" w:rsidR="009827D5" w:rsidRDefault="009827D5" w:rsidP="00DC5C5A">
            <w:pPr>
              <w:rPr>
                <w:b/>
              </w:rPr>
            </w:pPr>
            <w:r>
              <w:rPr>
                <w:b/>
              </w:rPr>
              <w:t>Audience</w:t>
            </w:r>
          </w:p>
        </w:tc>
        <w:tc>
          <w:tcPr>
            <w:tcW w:w="4394" w:type="dxa"/>
          </w:tcPr>
          <w:p w14:paraId="1A2B862E" w14:textId="77777777" w:rsidR="009827D5" w:rsidRDefault="00B83B4C" w:rsidP="00600F05">
            <w:r>
              <w:t>Student Registry</w:t>
            </w:r>
            <w:r w:rsidR="009827D5">
              <w:t>; Data Assurance Group</w:t>
            </w:r>
          </w:p>
        </w:tc>
      </w:tr>
    </w:tbl>
    <w:p w14:paraId="01D0F1A1" w14:textId="0FC6E623" w:rsidR="00BB66A2" w:rsidRDefault="005E7EF0" w:rsidP="00930F43">
      <w:pPr>
        <w:spacing w:after="0"/>
        <w:rPr>
          <w:b/>
        </w:rPr>
      </w:pPr>
      <w:r w:rsidRPr="007132B0">
        <w:rPr>
          <w:b/>
          <w:noProof/>
          <w:color w:val="2B579A"/>
          <w:sz w:val="24"/>
          <w:shd w:val="clear" w:color="auto" w:fill="E6E6E6"/>
          <w:lang w:eastAsia="en-GB"/>
        </w:rPr>
        <w:drawing>
          <wp:anchor distT="107950" distB="107950" distL="107950" distR="107950" simplePos="0" relativeHeight="251659264" behindDoc="0" locked="0" layoutInCell="1" allowOverlap="1" wp14:anchorId="62A88C9C" wp14:editId="77272891">
            <wp:simplePos x="0" y="0"/>
            <wp:positionH relativeFrom="margin">
              <wp:posOffset>4601260</wp:posOffset>
            </wp:positionH>
            <wp:positionV relativeFrom="margin">
              <wp:align>top</wp:align>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sdt>
      <w:sdtPr>
        <w:rPr>
          <w:caps/>
          <w:smallCaps w:val="0"/>
          <w:color w:val="2B579A"/>
          <w:spacing w:val="0"/>
          <w:sz w:val="20"/>
          <w:szCs w:val="20"/>
          <w:shd w:val="clear" w:color="auto" w:fill="E6E6E6"/>
        </w:rPr>
        <w:id w:val="647092220"/>
        <w:docPartObj>
          <w:docPartGallery w:val="Table of Contents"/>
          <w:docPartUnique/>
        </w:docPartObj>
      </w:sdtPr>
      <w:sdtEndPr>
        <w:rPr>
          <w:b/>
          <w:bCs/>
          <w:caps w:val="0"/>
          <w:noProof/>
        </w:rPr>
      </w:sdtEndPr>
      <w:sdtContent>
        <w:p w14:paraId="47D27100" w14:textId="77777777" w:rsidR="00BB66A2" w:rsidRDefault="00BB66A2" w:rsidP="001F228C">
          <w:pPr>
            <w:pStyle w:val="TOCHeading"/>
          </w:pPr>
          <w:r>
            <w:t>Contents</w:t>
          </w:r>
        </w:p>
        <w:p w14:paraId="6FAE99B7" w14:textId="7100019E" w:rsidR="00CA2176" w:rsidRDefault="004E53C1">
          <w:pPr>
            <w:pStyle w:val="TOC1"/>
            <w:tabs>
              <w:tab w:val="left" w:pos="440"/>
              <w:tab w:val="right" w:leader="dot" w:pos="9017"/>
            </w:tabs>
            <w:rPr>
              <w:noProof/>
              <w:sz w:val="22"/>
              <w:szCs w:val="22"/>
              <w:lang w:eastAsia="en-GB"/>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42458120" w:history="1">
            <w:r w:rsidR="00CA2176" w:rsidRPr="009C7543">
              <w:rPr>
                <w:rStyle w:val="Hyperlink"/>
                <w:noProof/>
              </w:rPr>
              <w:t>1</w:t>
            </w:r>
            <w:r w:rsidR="00CA2176">
              <w:rPr>
                <w:noProof/>
                <w:sz w:val="22"/>
                <w:szCs w:val="22"/>
                <w:lang w:eastAsia="en-GB"/>
              </w:rPr>
              <w:tab/>
            </w:r>
            <w:r w:rsidR="00CA2176" w:rsidRPr="009C7543">
              <w:rPr>
                <w:rStyle w:val="Hyperlink"/>
                <w:noProof/>
              </w:rPr>
              <w:t>Introduction</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_Toc42458120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2</w:t>
            </w:r>
            <w:r w:rsidR="00CA2176">
              <w:rPr>
                <w:noProof/>
                <w:webHidden/>
                <w:color w:val="2B579A"/>
                <w:shd w:val="clear" w:color="auto" w:fill="E6E6E6"/>
              </w:rPr>
              <w:fldChar w:fldCharType="end"/>
            </w:r>
          </w:hyperlink>
        </w:p>
        <w:p w14:paraId="184C044F" w14:textId="5F8F8263" w:rsidR="00CA2176" w:rsidRDefault="007B0990">
          <w:pPr>
            <w:pStyle w:val="TOC1"/>
            <w:tabs>
              <w:tab w:val="left" w:pos="440"/>
              <w:tab w:val="right" w:leader="dot" w:pos="9017"/>
            </w:tabs>
            <w:rPr>
              <w:noProof/>
              <w:sz w:val="22"/>
              <w:szCs w:val="22"/>
              <w:lang w:eastAsia="en-GB"/>
            </w:rPr>
          </w:pPr>
          <w:hyperlink w:anchor="_Toc42458121" w:history="1">
            <w:r w:rsidR="00CA2176" w:rsidRPr="009C7543">
              <w:rPr>
                <w:rStyle w:val="Hyperlink"/>
                <w:noProof/>
              </w:rPr>
              <w:t>2</w:t>
            </w:r>
            <w:r w:rsidR="00CA2176">
              <w:rPr>
                <w:noProof/>
                <w:sz w:val="22"/>
                <w:szCs w:val="22"/>
                <w:lang w:eastAsia="en-GB"/>
              </w:rPr>
              <w:tab/>
            </w:r>
            <w:r w:rsidR="00CA2176" w:rsidRPr="009C7543">
              <w:rPr>
                <w:rStyle w:val="Hyperlink"/>
                <w:noProof/>
              </w:rPr>
              <w:t>Purpose</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_Toc42458121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2</w:t>
            </w:r>
            <w:r w:rsidR="00CA2176">
              <w:rPr>
                <w:noProof/>
                <w:webHidden/>
                <w:color w:val="2B579A"/>
                <w:shd w:val="clear" w:color="auto" w:fill="E6E6E6"/>
              </w:rPr>
              <w:fldChar w:fldCharType="end"/>
            </w:r>
          </w:hyperlink>
        </w:p>
        <w:p w14:paraId="374E0F42" w14:textId="0A25E6A4" w:rsidR="00CA2176" w:rsidRDefault="007B0990">
          <w:pPr>
            <w:pStyle w:val="TOC1"/>
            <w:tabs>
              <w:tab w:val="left" w:pos="440"/>
              <w:tab w:val="right" w:leader="dot" w:pos="9017"/>
            </w:tabs>
            <w:rPr>
              <w:noProof/>
              <w:sz w:val="22"/>
              <w:szCs w:val="22"/>
              <w:lang w:eastAsia="en-GB"/>
            </w:rPr>
          </w:pPr>
          <w:hyperlink w:anchor="_Toc42458122" w:history="1">
            <w:r w:rsidR="00CA2176" w:rsidRPr="009C7543">
              <w:rPr>
                <w:rStyle w:val="Hyperlink"/>
                <w:noProof/>
              </w:rPr>
              <w:t>3</w:t>
            </w:r>
            <w:r w:rsidR="00CA2176">
              <w:rPr>
                <w:noProof/>
                <w:sz w:val="22"/>
                <w:szCs w:val="22"/>
                <w:lang w:eastAsia="en-GB"/>
              </w:rPr>
              <w:tab/>
            </w:r>
            <w:r w:rsidR="00CA2176" w:rsidRPr="009C7543">
              <w:rPr>
                <w:rStyle w:val="Hyperlink"/>
                <w:noProof/>
              </w:rPr>
              <w:t>Scope</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_Toc42458122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2</w:t>
            </w:r>
            <w:r w:rsidR="00CA2176">
              <w:rPr>
                <w:noProof/>
                <w:webHidden/>
                <w:color w:val="2B579A"/>
                <w:shd w:val="clear" w:color="auto" w:fill="E6E6E6"/>
              </w:rPr>
              <w:fldChar w:fldCharType="end"/>
            </w:r>
          </w:hyperlink>
        </w:p>
        <w:p w14:paraId="48AC3888" w14:textId="0A99C3F2" w:rsidR="00CA2176" w:rsidRDefault="007B0990">
          <w:pPr>
            <w:pStyle w:val="TOC1"/>
            <w:tabs>
              <w:tab w:val="left" w:pos="440"/>
              <w:tab w:val="right" w:leader="dot" w:pos="9017"/>
            </w:tabs>
            <w:rPr>
              <w:noProof/>
              <w:sz w:val="22"/>
              <w:szCs w:val="22"/>
              <w:lang w:eastAsia="en-GB"/>
            </w:rPr>
          </w:pPr>
          <w:hyperlink w:anchor="_Toc42458123" w:history="1">
            <w:r w:rsidR="00CA2176" w:rsidRPr="009C7543">
              <w:rPr>
                <w:rStyle w:val="Hyperlink"/>
                <w:noProof/>
              </w:rPr>
              <w:t>4</w:t>
            </w:r>
            <w:r w:rsidR="00CA2176">
              <w:rPr>
                <w:noProof/>
                <w:sz w:val="22"/>
                <w:szCs w:val="22"/>
                <w:lang w:eastAsia="en-GB"/>
              </w:rPr>
              <w:tab/>
            </w:r>
            <w:r w:rsidR="00CA2176" w:rsidRPr="009C7543">
              <w:rPr>
                <w:rStyle w:val="Hyperlink"/>
                <w:noProof/>
              </w:rPr>
              <w:t>Policy objectives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_Toc42458123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3</w:t>
            </w:r>
            <w:r w:rsidR="00CA2176">
              <w:rPr>
                <w:noProof/>
                <w:webHidden/>
                <w:color w:val="2B579A"/>
                <w:shd w:val="clear" w:color="auto" w:fill="E6E6E6"/>
              </w:rPr>
              <w:fldChar w:fldCharType="end"/>
            </w:r>
          </w:hyperlink>
        </w:p>
        <w:p w14:paraId="1201A648" w14:textId="15B39ED4" w:rsidR="00CA2176" w:rsidRDefault="007B0990">
          <w:pPr>
            <w:pStyle w:val="TOC1"/>
            <w:tabs>
              <w:tab w:val="left" w:pos="440"/>
              <w:tab w:val="right" w:leader="dot" w:pos="9017"/>
            </w:tabs>
            <w:rPr>
              <w:noProof/>
              <w:sz w:val="22"/>
              <w:szCs w:val="22"/>
              <w:lang w:eastAsia="en-GB"/>
            </w:rPr>
          </w:pPr>
          <w:hyperlink w:anchor="_Toc42458124" w:history="1">
            <w:r w:rsidR="00CA2176" w:rsidRPr="009C7543">
              <w:rPr>
                <w:rStyle w:val="Hyperlink"/>
                <w:noProof/>
              </w:rPr>
              <w:t>5</w:t>
            </w:r>
            <w:r w:rsidR="00CA2176">
              <w:rPr>
                <w:noProof/>
                <w:sz w:val="22"/>
                <w:szCs w:val="22"/>
                <w:lang w:eastAsia="en-GB"/>
              </w:rPr>
              <w:tab/>
            </w:r>
            <w:r w:rsidR="00CA2176" w:rsidRPr="009C7543">
              <w:rPr>
                <w:rStyle w:val="Hyperlink"/>
                <w:noProof/>
              </w:rPr>
              <w:t>Risks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_Toc42458124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3</w:t>
            </w:r>
            <w:r w:rsidR="00CA2176">
              <w:rPr>
                <w:noProof/>
                <w:webHidden/>
                <w:color w:val="2B579A"/>
                <w:shd w:val="clear" w:color="auto" w:fill="E6E6E6"/>
              </w:rPr>
              <w:fldChar w:fldCharType="end"/>
            </w:r>
          </w:hyperlink>
        </w:p>
        <w:p w14:paraId="6454C8B5" w14:textId="1FBDEBAB" w:rsidR="00CA2176" w:rsidRDefault="007B0990">
          <w:pPr>
            <w:pStyle w:val="TOC1"/>
            <w:tabs>
              <w:tab w:val="left" w:pos="440"/>
              <w:tab w:val="right" w:leader="dot" w:pos="9017"/>
            </w:tabs>
            <w:rPr>
              <w:noProof/>
              <w:sz w:val="22"/>
              <w:szCs w:val="22"/>
              <w:lang w:eastAsia="en-GB"/>
            </w:rPr>
          </w:pPr>
          <w:hyperlink w:anchor="_Toc42458125" w:history="1">
            <w:r w:rsidR="00CA2176" w:rsidRPr="009C7543">
              <w:rPr>
                <w:rStyle w:val="Hyperlink"/>
                <w:noProof/>
              </w:rPr>
              <w:t>6</w:t>
            </w:r>
            <w:r w:rsidR="00CA2176">
              <w:rPr>
                <w:noProof/>
                <w:sz w:val="22"/>
                <w:szCs w:val="22"/>
                <w:lang w:eastAsia="en-GB"/>
              </w:rPr>
              <w:tab/>
            </w:r>
            <w:r w:rsidR="00CA2176" w:rsidRPr="009C7543">
              <w:rPr>
                <w:rStyle w:val="Hyperlink"/>
                <w:noProof/>
              </w:rPr>
              <w:t>Policy</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_Toc42458125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4</w:t>
            </w:r>
            <w:r w:rsidR="00CA2176">
              <w:rPr>
                <w:noProof/>
                <w:webHidden/>
                <w:color w:val="2B579A"/>
                <w:shd w:val="clear" w:color="auto" w:fill="E6E6E6"/>
              </w:rPr>
              <w:fldChar w:fldCharType="end"/>
            </w:r>
          </w:hyperlink>
        </w:p>
        <w:p w14:paraId="23A4BC92" w14:textId="1FC4EBD8" w:rsidR="00CA2176" w:rsidRDefault="007B0990">
          <w:pPr>
            <w:pStyle w:val="TOC2"/>
            <w:tabs>
              <w:tab w:val="left" w:pos="880"/>
              <w:tab w:val="right" w:leader="dot" w:pos="9017"/>
            </w:tabs>
            <w:rPr>
              <w:noProof/>
              <w:sz w:val="22"/>
              <w:szCs w:val="22"/>
              <w:lang w:eastAsia="en-GB"/>
            </w:rPr>
          </w:pPr>
          <w:hyperlink w:anchor="_Toc42458126" w:history="1">
            <w:r w:rsidR="00CA2176" w:rsidRPr="009C7543">
              <w:rPr>
                <w:rStyle w:val="Hyperlink"/>
                <w:rFonts w:ascii="Arial" w:hAnsi="Arial" w:cs="Arial"/>
                <w:noProof/>
              </w:rPr>
              <w:t>6.1</w:t>
            </w:r>
            <w:r w:rsidR="00CA2176">
              <w:rPr>
                <w:noProof/>
                <w:sz w:val="22"/>
                <w:szCs w:val="22"/>
                <w:lang w:eastAsia="en-GB"/>
              </w:rPr>
              <w:tab/>
            </w:r>
            <w:r w:rsidR="00CA2176" w:rsidRPr="009C7543">
              <w:rPr>
                <w:rStyle w:val="Hyperlink"/>
                <w:noProof/>
              </w:rPr>
              <w:t>Responsibilities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_Toc42458126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4</w:t>
            </w:r>
            <w:r w:rsidR="00CA2176">
              <w:rPr>
                <w:noProof/>
                <w:webHidden/>
                <w:color w:val="2B579A"/>
                <w:shd w:val="clear" w:color="auto" w:fill="E6E6E6"/>
              </w:rPr>
              <w:fldChar w:fldCharType="end"/>
            </w:r>
          </w:hyperlink>
        </w:p>
        <w:p w14:paraId="01E2E756" w14:textId="53FAFC88" w:rsidR="00CA2176" w:rsidRDefault="007B0990">
          <w:pPr>
            <w:pStyle w:val="TOC2"/>
            <w:tabs>
              <w:tab w:val="left" w:pos="880"/>
              <w:tab w:val="right" w:leader="dot" w:pos="9017"/>
            </w:tabs>
            <w:rPr>
              <w:noProof/>
              <w:sz w:val="22"/>
              <w:szCs w:val="22"/>
              <w:lang w:eastAsia="en-GB"/>
            </w:rPr>
          </w:pPr>
          <w:hyperlink w:anchor="_Toc42458127" w:history="1">
            <w:r w:rsidR="00CA2176" w:rsidRPr="009C7543">
              <w:rPr>
                <w:rStyle w:val="Hyperlink"/>
                <w:rFonts w:ascii="Arial" w:hAnsi="Arial" w:cs="Arial"/>
                <w:noProof/>
              </w:rPr>
              <w:t>6.2</w:t>
            </w:r>
            <w:r w:rsidR="00CA2176">
              <w:rPr>
                <w:noProof/>
                <w:sz w:val="22"/>
                <w:szCs w:val="22"/>
                <w:lang w:eastAsia="en-GB"/>
              </w:rPr>
              <w:tab/>
            </w:r>
            <w:r w:rsidR="00CA2176" w:rsidRPr="009C7543">
              <w:rPr>
                <w:rStyle w:val="Hyperlink"/>
                <w:noProof/>
              </w:rPr>
              <w:t>Policies, procedures, processes, systems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_Toc42458127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4</w:t>
            </w:r>
            <w:r w:rsidR="00CA2176">
              <w:rPr>
                <w:noProof/>
                <w:webHidden/>
                <w:color w:val="2B579A"/>
                <w:shd w:val="clear" w:color="auto" w:fill="E6E6E6"/>
              </w:rPr>
              <w:fldChar w:fldCharType="end"/>
            </w:r>
          </w:hyperlink>
        </w:p>
        <w:p w14:paraId="78D18DDA" w14:textId="27B86E86" w:rsidR="00CA2176" w:rsidRDefault="007B0990">
          <w:pPr>
            <w:pStyle w:val="TOC2"/>
            <w:tabs>
              <w:tab w:val="left" w:pos="880"/>
              <w:tab w:val="right" w:leader="dot" w:pos="9017"/>
            </w:tabs>
            <w:rPr>
              <w:noProof/>
              <w:sz w:val="22"/>
              <w:szCs w:val="22"/>
              <w:lang w:eastAsia="en-GB"/>
            </w:rPr>
          </w:pPr>
          <w:hyperlink w:anchor="_Toc42458128" w:history="1">
            <w:r w:rsidR="00CA2176" w:rsidRPr="009C7543">
              <w:rPr>
                <w:rStyle w:val="Hyperlink"/>
                <w:rFonts w:ascii="Arial" w:hAnsi="Arial" w:cs="Arial"/>
                <w:noProof/>
              </w:rPr>
              <w:t>6.3</w:t>
            </w:r>
            <w:r w:rsidR="00CA2176">
              <w:rPr>
                <w:noProof/>
                <w:sz w:val="22"/>
                <w:szCs w:val="22"/>
                <w:lang w:eastAsia="en-GB"/>
              </w:rPr>
              <w:tab/>
            </w:r>
            <w:r w:rsidR="00CA2176" w:rsidRPr="009C7543">
              <w:rPr>
                <w:rStyle w:val="Hyperlink"/>
                <w:noProof/>
              </w:rPr>
              <w:t>Security</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_Toc42458128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1A3BEC92" w14:textId="3FE0887F" w:rsidR="00CA2176" w:rsidRDefault="007B0990">
          <w:pPr>
            <w:pStyle w:val="TOC2"/>
            <w:tabs>
              <w:tab w:val="left" w:pos="880"/>
              <w:tab w:val="right" w:leader="dot" w:pos="9017"/>
            </w:tabs>
            <w:rPr>
              <w:noProof/>
              <w:sz w:val="22"/>
              <w:szCs w:val="22"/>
              <w:lang w:eastAsia="en-GB"/>
            </w:rPr>
          </w:pPr>
          <w:hyperlink w:anchor="_Toc42458129" w:history="1">
            <w:r w:rsidR="00CA2176" w:rsidRPr="009C7543">
              <w:rPr>
                <w:rStyle w:val="Hyperlink"/>
                <w:rFonts w:ascii="Arial" w:hAnsi="Arial" w:cs="Arial"/>
                <w:noProof/>
              </w:rPr>
              <w:t>6.4</w:t>
            </w:r>
            <w:r w:rsidR="00CA2176">
              <w:rPr>
                <w:noProof/>
                <w:sz w:val="22"/>
                <w:szCs w:val="22"/>
                <w:lang w:eastAsia="en-GB"/>
              </w:rPr>
              <w:tab/>
            </w:r>
            <w:r w:rsidR="00CA2176" w:rsidRPr="009C7543">
              <w:rPr>
                <w:rStyle w:val="Hyperlink"/>
                <w:noProof/>
              </w:rPr>
              <w:t>Data quality assurance</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_Toc42458129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07EF57B6" w14:textId="129567E1" w:rsidR="00CA2176" w:rsidRDefault="007B0990">
          <w:pPr>
            <w:pStyle w:val="TOC2"/>
            <w:tabs>
              <w:tab w:val="left" w:pos="880"/>
              <w:tab w:val="right" w:leader="dot" w:pos="9017"/>
            </w:tabs>
            <w:rPr>
              <w:noProof/>
              <w:sz w:val="22"/>
              <w:szCs w:val="22"/>
              <w:lang w:eastAsia="en-GB"/>
            </w:rPr>
          </w:pPr>
          <w:hyperlink w:anchor="_Toc42458130" w:history="1">
            <w:r w:rsidR="00CA2176" w:rsidRPr="009C7543">
              <w:rPr>
                <w:rStyle w:val="Hyperlink"/>
                <w:rFonts w:ascii="Arial" w:hAnsi="Arial" w:cs="Arial"/>
                <w:noProof/>
              </w:rPr>
              <w:t>6.5</w:t>
            </w:r>
            <w:r w:rsidR="00CA2176">
              <w:rPr>
                <w:noProof/>
                <w:sz w:val="22"/>
                <w:szCs w:val="22"/>
                <w:lang w:eastAsia="en-GB"/>
              </w:rPr>
              <w:tab/>
            </w:r>
            <w:r w:rsidR="00CA2176" w:rsidRPr="009C7543">
              <w:rPr>
                <w:rStyle w:val="Hyperlink"/>
                <w:noProof/>
              </w:rPr>
              <w:t>Training</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_Toc42458130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04049D37" w14:textId="1B9D141F" w:rsidR="00CA2176" w:rsidRDefault="007B0990">
          <w:pPr>
            <w:pStyle w:val="TOC2"/>
            <w:tabs>
              <w:tab w:val="left" w:pos="880"/>
              <w:tab w:val="right" w:leader="dot" w:pos="9017"/>
            </w:tabs>
            <w:rPr>
              <w:noProof/>
              <w:sz w:val="22"/>
              <w:szCs w:val="22"/>
              <w:lang w:eastAsia="en-GB"/>
            </w:rPr>
          </w:pPr>
          <w:hyperlink w:anchor="_Toc42458131" w:history="1">
            <w:r w:rsidR="00CA2176" w:rsidRPr="009C7543">
              <w:rPr>
                <w:rStyle w:val="Hyperlink"/>
                <w:rFonts w:ascii="Arial" w:hAnsi="Arial" w:cs="Arial"/>
                <w:noProof/>
              </w:rPr>
              <w:t>6.6</w:t>
            </w:r>
            <w:r w:rsidR="00CA2176">
              <w:rPr>
                <w:noProof/>
                <w:sz w:val="22"/>
                <w:szCs w:val="22"/>
                <w:lang w:eastAsia="en-GB"/>
              </w:rPr>
              <w:tab/>
            </w:r>
            <w:r w:rsidR="00CA2176" w:rsidRPr="009C7543">
              <w:rPr>
                <w:rStyle w:val="Hyperlink"/>
                <w:noProof/>
              </w:rPr>
              <w:t>Review and communication</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_Toc42458131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400FEE05" w14:textId="17AFB88A" w:rsidR="00CA2176" w:rsidRDefault="007B0990">
          <w:pPr>
            <w:pStyle w:val="TOC1"/>
            <w:tabs>
              <w:tab w:val="right" w:leader="dot" w:pos="9017"/>
            </w:tabs>
            <w:rPr>
              <w:noProof/>
              <w:sz w:val="22"/>
              <w:szCs w:val="22"/>
              <w:lang w:eastAsia="en-GB"/>
            </w:rPr>
          </w:pPr>
          <w:hyperlink w:anchor="_Toc42458132" w:history="1">
            <w:r w:rsidR="00CA2176" w:rsidRPr="009C7543">
              <w:rPr>
                <w:rStyle w:val="Hyperlink"/>
                <w:noProof/>
              </w:rPr>
              <w:t>Annexe: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_Toc42458132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6</w:t>
            </w:r>
            <w:r w:rsidR="00CA2176">
              <w:rPr>
                <w:noProof/>
                <w:webHidden/>
                <w:color w:val="2B579A"/>
                <w:shd w:val="clear" w:color="auto" w:fill="E6E6E6"/>
              </w:rPr>
              <w:fldChar w:fldCharType="end"/>
            </w:r>
          </w:hyperlink>
        </w:p>
        <w:p w14:paraId="3E2B01A5" w14:textId="07C75858" w:rsidR="00CA2176" w:rsidRDefault="007B0990">
          <w:pPr>
            <w:pStyle w:val="TOC1"/>
            <w:tabs>
              <w:tab w:val="left" w:pos="660"/>
              <w:tab w:val="right" w:leader="dot" w:pos="9017"/>
            </w:tabs>
            <w:rPr>
              <w:noProof/>
              <w:sz w:val="22"/>
              <w:szCs w:val="22"/>
              <w:lang w:eastAsia="en-GB"/>
            </w:rPr>
          </w:pPr>
          <w:hyperlink w:anchor="_Toc42458133" w:history="1">
            <w:r w:rsidR="00CA2176" w:rsidRPr="009C7543">
              <w:rPr>
                <w:rStyle w:val="Hyperlink"/>
                <w:noProof/>
              </w:rPr>
              <w:t>A.1</w:t>
            </w:r>
            <w:r w:rsidR="00CA2176">
              <w:rPr>
                <w:noProof/>
                <w:sz w:val="22"/>
                <w:szCs w:val="22"/>
                <w:lang w:eastAsia="en-GB"/>
              </w:rPr>
              <w:tab/>
            </w:r>
            <w:r w:rsidR="00CA2176" w:rsidRPr="009C7543">
              <w:rPr>
                <w:rStyle w:val="Hyperlink"/>
                <w:noProof/>
              </w:rPr>
              <w:t>Introduction</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_Toc42458133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6</w:t>
            </w:r>
            <w:r w:rsidR="00CA2176">
              <w:rPr>
                <w:noProof/>
                <w:webHidden/>
                <w:color w:val="2B579A"/>
                <w:shd w:val="clear" w:color="auto" w:fill="E6E6E6"/>
              </w:rPr>
              <w:fldChar w:fldCharType="end"/>
            </w:r>
          </w:hyperlink>
        </w:p>
        <w:p w14:paraId="12EAE9E4" w14:textId="3DBB932B" w:rsidR="00CA2176" w:rsidRDefault="007B0990">
          <w:pPr>
            <w:pStyle w:val="TOC1"/>
            <w:tabs>
              <w:tab w:val="left" w:pos="660"/>
              <w:tab w:val="right" w:leader="dot" w:pos="9017"/>
            </w:tabs>
            <w:rPr>
              <w:noProof/>
              <w:sz w:val="22"/>
              <w:szCs w:val="22"/>
              <w:lang w:eastAsia="en-GB"/>
            </w:rPr>
          </w:pPr>
          <w:hyperlink w:anchor="_Toc42458134" w:history="1">
            <w:r w:rsidR="00CA2176" w:rsidRPr="009C7543">
              <w:rPr>
                <w:rStyle w:val="Hyperlink"/>
                <w:noProof/>
              </w:rPr>
              <w:t>A.2</w:t>
            </w:r>
            <w:r w:rsidR="00CA2176">
              <w:rPr>
                <w:noProof/>
                <w:sz w:val="22"/>
                <w:szCs w:val="22"/>
                <w:lang w:eastAsia="en-GB"/>
              </w:rPr>
              <w:tab/>
            </w:r>
            <w:r w:rsidR="00CA2176" w:rsidRPr="009C7543">
              <w:rPr>
                <w:rStyle w:val="Hyperlink"/>
                <w:noProof/>
              </w:rPr>
              <w:t>Admissions – Specific Risks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_Toc42458134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6</w:t>
            </w:r>
            <w:r w:rsidR="00CA2176">
              <w:rPr>
                <w:noProof/>
                <w:webHidden/>
                <w:color w:val="2B579A"/>
                <w:shd w:val="clear" w:color="auto" w:fill="E6E6E6"/>
              </w:rPr>
              <w:fldChar w:fldCharType="end"/>
            </w:r>
          </w:hyperlink>
        </w:p>
        <w:p w14:paraId="591B863A" w14:textId="6EF92B92" w:rsidR="00CA2176" w:rsidRDefault="007B0990">
          <w:pPr>
            <w:pStyle w:val="TOC1"/>
            <w:tabs>
              <w:tab w:val="left" w:pos="660"/>
              <w:tab w:val="right" w:leader="dot" w:pos="9017"/>
            </w:tabs>
            <w:rPr>
              <w:noProof/>
              <w:sz w:val="22"/>
              <w:szCs w:val="22"/>
              <w:lang w:eastAsia="en-GB"/>
            </w:rPr>
          </w:pPr>
          <w:hyperlink w:anchor="_Toc42458135" w:history="1">
            <w:r w:rsidR="00CA2176" w:rsidRPr="009C7543">
              <w:rPr>
                <w:rStyle w:val="Hyperlink"/>
                <w:noProof/>
              </w:rPr>
              <w:t>A.3</w:t>
            </w:r>
            <w:r w:rsidR="00CA2176">
              <w:rPr>
                <w:noProof/>
                <w:sz w:val="22"/>
                <w:szCs w:val="22"/>
                <w:lang w:eastAsia="en-GB"/>
              </w:rPr>
              <w:tab/>
            </w:r>
            <w:r w:rsidR="00CA2176" w:rsidRPr="009C7543">
              <w:rPr>
                <w:rStyle w:val="Hyperlink"/>
                <w:noProof/>
              </w:rPr>
              <w:t>Policy – Graduate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_Toc42458135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7</w:t>
            </w:r>
            <w:r w:rsidR="00CA2176">
              <w:rPr>
                <w:noProof/>
                <w:webHidden/>
                <w:color w:val="2B579A"/>
                <w:shd w:val="clear" w:color="auto" w:fill="E6E6E6"/>
              </w:rPr>
              <w:fldChar w:fldCharType="end"/>
            </w:r>
          </w:hyperlink>
        </w:p>
        <w:p w14:paraId="24D9FDB8" w14:textId="4EA9665B" w:rsidR="00CA2176" w:rsidRDefault="007B0990">
          <w:pPr>
            <w:pStyle w:val="TOC1"/>
            <w:tabs>
              <w:tab w:val="left" w:pos="660"/>
              <w:tab w:val="right" w:leader="dot" w:pos="9017"/>
            </w:tabs>
            <w:rPr>
              <w:noProof/>
              <w:sz w:val="22"/>
              <w:szCs w:val="22"/>
              <w:lang w:eastAsia="en-GB"/>
            </w:rPr>
          </w:pPr>
          <w:hyperlink w:anchor="_Toc42458140" w:history="1">
            <w:r w:rsidR="00CA2176" w:rsidRPr="009C7543">
              <w:rPr>
                <w:rStyle w:val="Hyperlink"/>
                <w:noProof/>
              </w:rPr>
              <w:t>A.4</w:t>
            </w:r>
            <w:r w:rsidR="00CA2176">
              <w:rPr>
                <w:noProof/>
                <w:sz w:val="22"/>
                <w:szCs w:val="22"/>
                <w:lang w:eastAsia="en-GB"/>
              </w:rPr>
              <w:tab/>
            </w:r>
            <w:r w:rsidR="00CA2176" w:rsidRPr="009C7543">
              <w:rPr>
                <w:rStyle w:val="Hyperlink"/>
                <w:noProof/>
              </w:rPr>
              <w:t>Policy – Undergraduate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_Toc42458140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8</w:t>
            </w:r>
            <w:r w:rsidR="00CA2176">
              <w:rPr>
                <w:noProof/>
                <w:webHidden/>
                <w:color w:val="2B579A"/>
                <w:shd w:val="clear" w:color="auto" w:fill="E6E6E6"/>
              </w:rPr>
              <w:fldChar w:fldCharType="end"/>
            </w:r>
          </w:hyperlink>
        </w:p>
        <w:p w14:paraId="472CAAEF" w14:textId="52AD26E3" w:rsidR="00CA2176" w:rsidRDefault="007B0990">
          <w:pPr>
            <w:pStyle w:val="TOC1"/>
            <w:tabs>
              <w:tab w:val="right" w:leader="dot" w:pos="9017"/>
            </w:tabs>
            <w:rPr>
              <w:noProof/>
              <w:sz w:val="22"/>
              <w:szCs w:val="22"/>
              <w:lang w:eastAsia="en-GB"/>
            </w:rPr>
          </w:pPr>
          <w:hyperlink w:anchor="_Toc42458147" w:history="1">
            <w:r w:rsidR="00CA2176" w:rsidRPr="009C7543">
              <w:rPr>
                <w:rStyle w:val="Hyperlink"/>
                <w:noProof/>
              </w:rPr>
              <w:t>Appendix 1: External Data Returns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_Toc42458147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10</w:t>
            </w:r>
            <w:r w:rsidR="00CA2176">
              <w:rPr>
                <w:noProof/>
                <w:webHidden/>
                <w:color w:val="2B579A"/>
                <w:shd w:val="clear" w:color="auto" w:fill="E6E6E6"/>
              </w:rPr>
              <w:fldChar w:fldCharType="end"/>
            </w:r>
          </w:hyperlink>
        </w:p>
        <w:p w14:paraId="15D70603" w14:textId="07F1AB13" w:rsidR="00CA2176" w:rsidRDefault="007B0990">
          <w:pPr>
            <w:pStyle w:val="TOC1"/>
            <w:tabs>
              <w:tab w:val="right" w:leader="dot" w:pos="9017"/>
            </w:tabs>
            <w:rPr>
              <w:noProof/>
              <w:sz w:val="22"/>
              <w:szCs w:val="22"/>
              <w:lang w:eastAsia="en-GB"/>
            </w:rPr>
          </w:pPr>
          <w:hyperlink w:anchor="_Toc42458182" w:history="1">
            <w:r w:rsidR="00CA2176" w:rsidRPr="009C7543">
              <w:rPr>
                <w:rStyle w:val="Hyperlink"/>
                <w:noProof/>
              </w:rPr>
              <w:t>Appendix 2: Glossary</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_Toc42458182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11</w:t>
            </w:r>
            <w:r w:rsidR="00CA2176">
              <w:rPr>
                <w:noProof/>
                <w:webHidden/>
                <w:color w:val="2B579A"/>
                <w:shd w:val="clear" w:color="auto" w:fill="E6E6E6"/>
              </w:rPr>
              <w:fldChar w:fldCharType="end"/>
            </w:r>
          </w:hyperlink>
        </w:p>
        <w:p w14:paraId="4D3A9A52" w14:textId="00CA65C3" w:rsidR="00BB66A2" w:rsidRDefault="004E53C1">
          <w:r>
            <w:rPr>
              <w:color w:val="2B579A"/>
              <w:shd w:val="clear" w:color="auto" w:fill="E6E6E6"/>
            </w:rPr>
            <w:fldChar w:fldCharType="end"/>
          </w:r>
        </w:p>
      </w:sdtContent>
    </w:sdt>
    <w:p w14:paraId="5C3F26EF" w14:textId="3A14942E" w:rsidR="00E37E84" w:rsidRPr="00460DD0" w:rsidRDefault="00460DD0" w:rsidP="00460DD0">
      <w:pPr>
        <w:pStyle w:val="Heading1"/>
      </w:pPr>
      <w:r>
        <w:br w:type="page"/>
      </w:r>
      <w:bookmarkStart w:id="0" w:name="_Toc42458120"/>
      <w:r w:rsidR="00E37E84">
        <w:lastRenderedPageBreak/>
        <w:t>1</w:t>
      </w:r>
      <w:r>
        <w:tab/>
      </w:r>
      <w:r w:rsidR="00E37E84">
        <w:t>Introduction</w:t>
      </w:r>
      <w:bookmarkEnd w:id="0"/>
    </w:p>
    <w:p w14:paraId="7DC59548" w14:textId="77777777" w:rsidR="00E37E84" w:rsidRDefault="00E37E84" w:rsidP="00E37E84">
      <w:pPr>
        <w:rPr>
          <w:rFonts w:ascii="Arial" w:hAnsi="Arial" w:cs="Arial"/>
          <w:szCs w:val="22"/>
        </w:rPr>
      </w:pPr>
      <w:r w:rsidRPr="005A5027">
        <w:rPr>
          <w:rFonts w:ascii="Arial" w:hAnsi="Arial" w:cs="Arial"/>
          <w:szCs w:val="22"/>
        </w:rPr>
        <w:t xml:space="preserve">The University has a </w:t>
      </w:r>
      <w:r w:rsidR="003709EE">
        <w:rPr>
          <w:rFonts w:ascii="Arial" w:hAnsi="Arial" w:cs="Arial"/>
          <w:szCs w:val="22"/>
        </w:rPr>
        <w:t>d</w:t>
      </w:r>
      <w:r w:rsidRPr="005A5027">
        <w:rPr>
          <w:rFonts w:ascii="Arial" w:hAnsi="Arial" w:cs="Arial"/>
          <w:szCs w:val="22"/>
        </w:rPr>
        <w:t xml:space="preserve">ata </w:t>
      </w:r>
      <w:r w:rsidR="003709EE">
        <w:rPr>
          <w:rFonts w:ascii="Arial" w:hAnsi="Arial" w:cs="Arial"/>
          <w:szCs w:val="22"/>
        </w:rPr>
        <w:t>q</w:t>
      </w:r>
      <w:r w:rsidRPr="005A5027">
        <w:rPr>
          <w:rFonts w:ascii="Arial" w:hAnsi="Arial" w:cs="Arial"/>
          <w:szCs w:val="22"/>
        </w:rPr>
        <w:t xml:space="preserve">uality and </w:t>
      </w:r>
      <w:r w:rsidR="003709EE">
        <w:rPr>
          <w:rFonts w:ascii="Arial" w:hAnsi="Arial" w:cs="Arial"/>
          <w:szCs w:val="22"/>
        </w:rPr>
        <w:t>d</w:t>
      </w:r>
      <w:r w:rsidRPr="005A5027">
        <w:rPr>
          <w:rFonts w:ascii="Arial" w:hAnsi="Arial" w:cs="Arial"/>
          <w:szCs w:val="22"/>
        </w:rPr>
        <w:t xml:space="preserve">ata </w:t>
      </w:r>
      <w:r w:rsidR="003709EE">
        <w:rPr>
          <w:rFonts w:ascii="Arial" w:hAnsi="Arial" w:cs="Arial"/>
          <w:szCs w:val="22"/>
        </w:rPr>
        <w:t>q</w:t>
      </w:r>
      <w:r w:rsidRPr="005A5027">
        <w:rPr>
          <w:rFonts w:ascii="Arial" w:hAnsi="Arial" w:cs="Arial"/>
          <w:szCs w:val="22"/>
        </w:rPr>
        <w:t xml:space="preserve">uality </w:t>
      </w:r>
      <w:r w:rsidR="003709EE">
        <w:rPr>
          <w:rFonts w:ascii="Arial" w:hAnsi="Arial" w:cs="Arial"/>
          <w:szCs w:val="22"/>
        </w:rPr>
        <w:t>a</w:t>
      </w:r>
      <w:r w:rsidRPr="005A5027">
        <w:rPr>
          <w:rFonts w:ascii="Arial" w:hAnsi="Arial" w:cs="Arial"/>
          <w:szCs w:val="22"/>
        </w:rPr>
        <w:t xml:space="preserve">ssurance </w:t>
      </w:r>
      <w:r w:rsidR="003709EE">
        <w:rPr>
          <w:rFonts w:ascii="Arial" w:hAnsi="Arial" w:cs="Arial"/>
          <w:szCs w:val="22"/>
        </w:rPr>
        <w:t>p</w:t>
      </w:r>
      <w:r w:rsidRPr="005A5027">
        <w:rPr>
          <w:rFonts w:ascii="Arial" w:hAnsi="Arial" w:cs="Arial"/>
          <w:szCs w:val="22"/>
        </w:rPr>
        <w:t>olicy</w:t>
      </w:r>
      <w:r w:rsidR="006229FC">
        <w:rPr>
          <w:rFonts w:ascii="Arial" w:hAnsi="Arial" w:cs="Arial"/>
          <w:szCs w:val="22"/>
        </w:rPr>
        <w:t xml:space="preserve"> approved by Council</w:t>
      </w:r>
      <w:r w:rsidRPr="003709EE">
        <w:rPr>
          <w:rStyle w:val="FootnoteReference"/>
        </w:rPr>
        <w:footnoteReference w:id="1"/>
      </w:r>
      <w:r w:rsidRPr="005A5027">
        <w:rPr>
          <w:rFonts w:ascii="Arial" w:hAnsi="Arial" w:cs="Arial"/>
          <w:szCs w:val="22"/>
        </w:rPr>
        <w:t xml:space="preserve"> to ensure that the quality of </w:t>
      </w:r>
      <w:r>
        <w:rPr>
          <w:rFonts w:ascii="Arial" w:hAnsi="Arial" w:cs="Arial"/>
          <w:szCs w:val="22"/>
        </w:rPr>
        <w:t xml:space="preserve">the </w:t>
      </w:r>
      <w:r w:rsidRPr="005A5027">
        <w:rPr>
          <w:rFonts w:ascii="Arial" w:hAnsi="Arial" w:cs="Arial"/>
          <w:szCs w:val="22"/>
        </w:rPr>
        <w:t xml:space="preserve">data it produces </w:t>
      </w:r>
      <w:r>
        <w:rPr>
          <w:rFonts w:ascii="Arial" w:hAnsi="Arial" w:cs="Arial"/>
          <w:szCs w:val="22"/>
        </w:rPr>
        <w:t>complies</w:t>
      </w:r>
      <w:r w:rsidR="007F7EA6">
        <w:rPr>
          <w:rFonts w:ascii="Arial" w:hAnsi="Arial" w:cs="Arial"/>
          <w:szCs w:val="22"/>
        </w:rPr>
        <w:t xml:space="preserve"> with</w:t>
      </w:r>
      <w:r w:rsidRPr="005A5027">
        <w:rPr>
          <w:rFonts w:ascii="Arial" w:hAnsi="Arial" w:cs="Arial"/>
          <w:szCs w:val="22"/>
        </w:rPr>
        <w:t xml:space="preserve"> </w:t>
      </w:r>
      <w:r w:rsidRPr="005A5027">
        <w:rPr>
          <w:rFonts w:ascii="Arial" w:hAnsi="Arial" w:cs="Arial"/>
          <w:color w:val="000000"/>
          <w:szCs w:val="22"/>
        </w:rPr>
        <w:t>internal and external requirements.</w:t>
      </w:r>
      <w:r>
        <w:rPr>
          <w:rFonts w:ascii="Arial" w:hAnsi="Arial" w:cs="Arial"/>
          <w:color w:val="000000"/>
          <w:szCs w:val="22"/>
        </w:rPr>
        <w:t xml:space="preserve"> </w:t>
      </w:r>
      <w:r w:rsidR="00B83B4C" w:rsidRPr="00B83B4C">
        <w:rPr>
          <w:rFonts w:ascii="Arial" w:hAnsi="Arial" w:cs="Arial"/>
          <w:szCs w:val="22"/>
        </w:rPr>
        <w:t xml:space="preserve">The Academic Administration Division (AAD) </w:t>
      </w:r>
      <w:r>
        <w:rPr>
          <w:rFonts w:ascii="Arial" w:hAnsi="Arial" w:cs="Arial"/>
          <w:szCs w:val="22"/>
        </w:rPr>
        <w:t xml:space="preserve">is required to have its own </w:t>
      </w:r>
      <w:r w:rsidR="003709EE">
        <w:rPr>
          <w:rFonts w:ascii="Arial" w:hAnsi="Arial" w:cs="Arial"/>
          <w:szCs w:val="22"/>
        </w:rPr>
        <w:t>d</w:t>
      </w:r>
      <w:r>
        <w:rPr>
          <w:rFonts w:ascii="Arial" w:hAnsi="Arial" w:cs="Arial"/>
          <w:szCs w:val="22"/>
        </w:rPr>
        <w:t xml:space="preserve">ata </w:t>
      </w:r>
      <w:r w:rsidR="003709EE">
        <w:rPr>
          <w:rFonts w:ascii="Arial" w:hAnsi="Arial" w:cs="Arial"/>
          <w:szCs w:val="22"/>
        </w:rPr>
        <w:t>q</w:t>
      </w:r>
      <w:r>
        <w:rPr>
          <w:rFonts w:ascii="Arial" w:hAnsi="Arial" w:cs="Arial"/>
          <w:szCs w:val="22"/>
        </w:rPr>
        <w:t xml:space="preserve">uality </w:t>
      </w:r>
      <w:r w:rsidR="003709EE">
        <w:rPr>
          <w:rFonts w:ascii="Arial" w:hAnsi="Arial" w:cs="Arial"/>
          <w:szCs w:val="22"/>
        </w:rPr>
        <w:t>p</w:t>
      </w:r>
      <w:r>
        <w:rPr>
          <w:rFonts w:ascii="Arial" w:hAnsi="Arial" w:cs="Arial"/>
          <w:szCs w:val="22"/>
        </w:rPr>
        <w:t xml:space="preserve">olicy </w:t>
      </w:r>
      <w:r w:rsidR="00F34AFD">
        <w:rPr>
          <w:rFonts w:ascii="Arial" w:hAnsi="Arial" w:cs="Arial"/>
          <w:szCs w:val="22"/>
        </w:rPr>
        <w:t>aligned with</w:t>
      </w:r>
      <w:r w:rsidR="007F7EA6">
        <w:rPr>
          <w:rFonts w:ascii="Arial" w:hAnsi="Arial" w:cs="Arial"/>
          <w:szCs w:val="22"/>
        </w:rPr>
        <w:t xml:space="preserve"> the University’s </w:t>
      </w:r>
      <w:r w:rsidR="003709EE">
        <w:rPr>
          <w:rFonts w:ascii="Arial" w:hAnsi="Arial" w:cs="Arial"/>
          <w:szCs w:val="22"/>
        </w:rPr>
        <w:t>p</w:t>
      </w:r>
      <w:r w:rsidR="007F7EA6">
        <w:rPr>
          <w:rFonts w:ascii="Arial" w:hAnsi="Arial" w:cs="Arial"/>
          <w:szCs w:val="22"/>
        </w:rPr>
        <w:t>olicy</w:t>
      </w:r>
      <w:r w:rsidR="003709EE">
        <w:rPr>
          <w:rFonts w:ascii="Arial" w:hAnsi="Arial" w:cs="Arial"/>
          <w:szCs w:val="22"/>
        </w:rPr>
        <w:t>,</w:t>
      </w:r>
      <w:r w:rsidR="007F7EA6">
        <w:rPr>
          <w:rFonts w:ascii="Arial" w:hAnsi="Arial" w:cs="Arial"/>
          <w:szCs w:val="22"/>
        </w:rPr>
        <w:t xml:space="preserve"> and </w:t>
      </w:r>
      <w:r w:rsidR="003709EE">
        <w:rPr>
          <w:rFonts w:ascii="Arial" w:hAnsi="Arial" w:cs="Arial"/>
          <w:szCs w:val="22"/>
        </w:rPr>
        <w:t xml:space="preserve">to </w:t>
      </w:r>
      <w:r w:rsidR="007F7EA6">
        <w:rPr>
          <w:rFonts w:ascii="Arial" w:hAnsi="Arial" w:cs="Arial"/>
          <w:szCs w:val="22"/>
        </w:rPr>
        <w:t>add its own requirements.</w:t>
      </w:r>
    </w:p>
    <w:p w14:paraId="1FFCF208" w14:textId="46A7F4CA" w:rsidR="00D25C21" w:rsidRDefault="003709EE" w:rsidP="00E37E84">
      <w:pPr>
        <w:rPr>
          <w:rFonts w:ascii="Arial" w:hAnsi="Arial" w:cs="Arial"/>
          <w:szCs w:val="22"/>
        </w:rPr>
      </w:pPr>
      <w:r>
        <w:rPr>
          <w:rFonts w:ascii="Arial" w:hAnsi="Arial" w:cs="Arial"/>
          <w:szCs w:val="22"/>
        </w:rPr>
        <w:t>High-</w:t>
      </w:r>
      <w:r w:rsidR="00F814DD">
        <w:rPr>
          <w:rFonts w:ascii="Arial" w:hAnsi="Arial" w:cs="Arial"/>
          <w:szCs w:val="22"/>
        </w:rPr>
        <w:t>quality data is the result of creating a culture that understands the importance of data accuracy</w:t>
      </w:r>
      <w:r w:rsidR="0086247C">
        <w:rPr>
          <w:rFonts w:ascii="Arial" w:hAnsi="Arial" w:cs="Arial"/>
          <w:szCs w:val="22"/>
        </w:rPr>
        <w:t xml:space="preserve"> and that is embedded in the organisation’s operational</w:t>
      </w:r>
      <w:r w:rsidR="0054165C">
        <w:rPr>
          <w:rFonts w:ascii="Arial" w:hAnsi="Arial" w:cs="Arial"/>
          <w:szCs w:val="22"/>
        </w:rPr>
        <w:t>,</w:t>
      </w:r>
      <w:r w:rsidR="0086247C">
        <w:rPr>
          <w:rFonts w:ascii="Arial" w:hAnsi="Arial" w:cs="Arial"/>
          <w:szCs w:val="22"/>
        </w:rPr>
        <w:t xml:space="preserve"> performance</w:t>
      </w:r>
      <w:r w:rsidR="0054165C">
        <w:rPr>
          <w:rFonts w:ascii="Arial" w:hAnsi="Arial" w:cs="Arial"/>
          <w:szCs w:val="22"/>
        </w:rPr>
        <w:t xml:space="preserve"> and governance</w:t>
      </w:r>
      <w:r w:rsidR="0086247C">
        <w:rPr>
          <w:rFonts w:ascii="Arial" w:hAnsi="Arial" w:cs="Arial"/>
          <w:szCs w:val="22"/>
        </w:rPr>
        <w:t xml:space="preserve"> </w:t>
      </w:r>
      <w:r w:rsidR="0054165C">
        <w:rPr>
          <w:rFonts w:ascii="Arial" w:hAnsi="Arial" w:cs="Arial"/>
          <w:szCs w:val="22"/>
        </w:rPr>
        <w:t>arrangements</w:t>
      </w:r>
      <w:r w:rsidR="00F814DD">
        <w:rPr>
          <w:rFonts w:ascii="Arial" w:hAnsi="Arial" w:cs="Arial"/>
          <w:szCs w:val="22"/>
        </w:rPr>
        <w:t xml:space="preserve">. Such a culture needs the correct processes, </w:t>
      </w:r>
      <w:r w:rsidR="00F05FBE">
        <w:rPr>
          <w:rFonts w:ascii="Arial" w:hAnsi="Arial" w:cs="Arial"/>
          <w:szCs w:val="22"/>
        </w:rPr>
        <w:t xml:space="preserve">systems, </w:t>
      </w:r>
      <w:r w:rsidR="00F814DD">
        <w:rPr>
          <w:rFonts w:ascii="Arial" w:hAnsi="Arial" w:cs="Arial"/>
          <w:szCs w:val="22"/>
        </w:rPr>
        <w:t>responsibilities and training to be in place</w:t>
      </w:r>
      <w:r w:rsidR="00BB0E16">
        <w:rPr>
          <w:rFonts w:ascii="Arial" w:hAnsi="Arial" w:cs="Arial"/>
          <w:szCs w:val="22"/>
        </w:rPr>
        <w:t>, and t</w:t>
      </w:r>
      <w:r w:rsidR="0086247C">
        <w:rPr>
          <w:rFonts w:ascii="Arial" w:hAnsi="Arial" w:cs="Arial"/>
          <w:szCs w:val="22"/>
        </w:rPr>
        <w:t xml:space="preserve">his policy is part of </w:t>
      </w:r>
      <w:r w:rsidR="00BB0E16">
        <w:rPr>
          <w:rFonts w:ascii="Arial" w:hAnsi="Arial" w:cs="Arial"/>
          <w:szCs w:val="22"/>
        </w:rPr>
        <w:t>those requirements</w:t>
      </w:r>
      <w:r w:rsidR="0086247C">
        <w:rPr>
          <w:rFonts w:ascii="Arial" w:hAnsi="Arial" w:cs="Arial"/>
          <w:szCs w:val="22"/>
        </w:rPr>
        <w:t>.</w:t>
      </w:r>
    </w:p>
    <w:p w14:paraId="45DDCE95" w14:textId="7D1C2E6E" w:rsidR="008C35C8" w:rsidRPr="00DF0019" w:rsidRDefault="008C35C8" w:rsidP="008C35C8">
      <w:pPr>
        <w:pStyle w:val="Heading1"/>
      </w:pPr>
      <w:bookmarkStart w:id="1" w:name="_Toc42458121"/>
      <w:r>
        <w:t>2</w:t>
      </w:r>
      <w:r>
        <w:tab/>
      </w:r>
      <w:r w:rsidRPr="00DF0019">
        <w:t>Purpose</w:t>
      </w:r>
      <w:bookmarkEnd w:id="1"/>
    </w:p>
    <w:p w14:paraId="694B1460" w14:textId="05A83BF4" w:rsidR="008C35C8" w:rsidRDefault="008C35C8" w:rsidP="4A8DE877">
      <w:pPr>
        <w:tabs>
          <w:tab w:val="left" w:pos="426"/>
        </w:tabs>
        <w:spacing w:after="160"/>
        <w:rPr>
          <w:rFonts w:ascii="Arial" w:hAnsi="Arial" w:cs="Arial"/>
        </w:rPr>
      </w:pPr>
      <w:r w:rsidRPr="4A8DE877">
        <w:rPr>
          <w:rFonts w:ascii="Arial" w:hAnsi="Arial" w:cs="Arial"/>
        </w:rPr>
        <w:t>The aim of</w:t>
      </w:r>
      <w:r w:rsidR="003709EE" w:rsidRPr="4A8DE877">
        <w:rPr>
          <w:rFonts w:ascii="Arial" w:hAnsi="Arial" w:cs="Arial"/>
        </w:rPr>
        <w:t xml:space="preserve"> the</w:t>
      </w:r>
      <w:r w:rsidRPr="4A8DE877">
        <w:rPr>
          <w:rFonts w:ascii="Arial" w:hAnsi="Arial" w:cs="Arial"/>
        </w:rPr>
        <w:t xml:space="preserve"> </w:t>
      </w:r>
      <w:r w:rsidR="00B83B4C" w:rsidRPr="4A8DE877">
        <w:rPr>
          <w:rFonts w:ascii="Arial" w:hAnsi="Arial" w:cs="Arial"/>
        </w:rPr>
        <w:t>Student</w:t>
      </w:r>
      <w:r w:rsidRPr="4A8DE877">
        <w:rPr>
          <w:rFonts w:ascii="Arial" w:hAnsi="Arial" w:cs="Arial"/>
        </w:rPr>
        <w:t xml:space="preserve"> </w:t>
      </w:r>
      <w:r w:rsidR="765287D4" w:rsidRPr="4A8DE877">
        <w:rPr>
          <w:rFonts w:ascii="Arial" w:hAnsi="Arial" w:cs="Arial"/>
        </w:rPr>
        <w:t>D</w:t>
      </w:r>
      <w:r w:rsidR="009827D5" w:rsidRPr="4A8DE877">
        <w:rPr>
          <w:rFonts w:ascii="Arial" w:hAnsi="Arial" w:cs="Arial"/>
        </w:rPr>
        <w:t xml:space="preserve">ata </w:t>
      </w:r>
      <w:r w:rsidR="5F793FE0" w:rsidRPr="4A8DE877">
        <w:rPr>
          <w:rFonts w:ascii="Arial" w:hAnsi="Arial" w:cs="Arial"/>
        </w:rPr>
        <w:t>Q</w:t>
      </w:r>
      <w:r w:rsidRPr="4A8DE877">
        <w:rPr>
          <w:rFonts w:ascii="Arial" w:hAnsi="Arial" w:cs="Arial"/>
        </w:rPr>
        <w:t xml:space="preserve">uality </w:t>
      </w:r>
      <w:r w:rsidR="4F92EC69" w:rsidRPr="4A8DE877">
        <w:rPr>
          <w:rFonts w:ascii="Arial" w:hAnsi="Arial" w:cs="Arial"/>
        </w:rPr>
        <w:t>P</w:t>
      </w:r>
      <w:r w:rsidRPr="4A8DE877">
        <w:rPr>
          <w:rFonts w:ascii="Arial" w:hAnsi="Arial" w:cs="Arial"/>
        </w:rPr>
        <w:t>olicy is to mitigate the risks</w:t>
      </w:r>
      <w:r w:rsidR="001D1E33" w:rsidRPr="4A8DE877">
        <w:rPr>
          <w:rFonts w:ascii="Arial" w:hAnsi="Arial" w:cs="Arial"/>
        </w:rPr>
        <w:t xml:space="preserve"> identified in section 5 (below)</w:t>
      </w:r>
      <w:r w:rsidR="003709EE" w:rsidRPr="4A8DE877">
        <w:rPr>
          <w:rFonts w:ascii="Arial" w:hAnsi="Arial" w:cs="Arial"/>
        </w:rPr>
        <w:t xml:space="preserve">, </w:t>
      </w:r>
      <w:r w:rsidRPr="4A8DE877">
        <w:rPr>
          <w:rFonts w:ascii="Arial" w:hAnsi="Arial" w:cs="Arial"/>
        </w:rPr>
        <w:t xml:space="preserve">and </w:t>
      </w:r>
      <w:r w:rsidR="003709EE" w:rsidRPr="4A8DE877">
        <w:rPr>
          <w:rFonts w:ascii="Arial" w:hAnsi="Arial" w:cs="Arial"/>
        </w:rPr>
        <w:t xml:space="preserve">to </w:t>
      </w:r>
      <w:r w:rsidRPr="4A8DE877">
        <w:rPr>
          <w:rFonts w:ascii="Arial" w:hAnsi="Arial" w:cs="Arial"/>
        </w:rPr>
        <w:t xml:space="preserve">support the University’s overarching </w:t>
      </w:r>
      <w:r w:rsidR="003709EE" w:rsidRPr="4A8DE877">
        <w:rPr>
          <w:rFonts w:ascii="Arial" w:hAnsi="Arial" w:cs="Arial"/>
        </w:rPr>
        <w:t>d</w:t>
      </w:r>
      <w:r w:rsidRPr="4A8DE877">
        <w:rPr>
          <w:rFonts w:ascii="Arial" w:hAnsi="Arial" w:cs="Arial"/>
        </w:rPr>
        <w:t xml:space="preserve">ata </w:t>
      </w:r>
      <w:r w:rsidR="003709EE" w:rsidRPr="4A8DE877">
        <w:rPr>
          <w:rFonts w:ascii="Arial" w:hAnsi="Arial" w:cs="Arial"/>
        </w:rPr>
        <w:t>q</w:t>
      </w:r>
      <w:r w:rsidRPr="4A8DE877">
        <w:rPr>
          <w:rFonts w:ascii="Arial" w:hAnsi="Arial" w:cs="Arial"/>
        </w:rPr>
        <w:t xml:space="preserve">uality </w:t>
      </w:r>
      <w:r w:rsidR="003709EE" w:rsidRPr="4A8DE877">
        <w:rPr>
          <w:rFonts w:ascii="Arial" w:hAnsi="Arial" w:cs="Arial"/>
        </w:rPr>
        <w:t>p</w:t>
      </w:r>
      <w:r w:rsidRPr="4A8DE877">
        <w:rPr>
          <w:rFonts w:ascii="Arial" w:hAnsi="Arial" w:cs="Arial"/>
        </w:rPr>
        <w:t xml:space="preserve">olicy. The policy should ensure that </w:t>
      </w:r>
      <w:r w:rsidR="00B83B4C" w:rsidRPr="4A8DE877">
        <w:rPr>
          <w:rFonts w:ascii="Arial" w:hAnsi="Arial" w:cs="Arial"/>
        </w:rPr>
        <w:t>the AAD</w:t>
      </w:r>
      <w:r w:rsidRPr="4A8DE877">
        <w:rPr>
          <w:rFonts w:ascii="Arial" w:hAnsi="Arial" w:cs="Arial"/>
        </w:rPr>
        <w:t xml:space="preserve"> </w:t>
      </w:r>
      <w:r w:rsidR="00F91441" w:rsidRPr="4A8DE877">
        <w:rPr>
          <w:rFonts w:ascii="Arial" w:hAnsi="Arial" w:cs="Arial"/>
        </w:rPr>
        <w:t xml:space="preserve">collects and </w:t>
      </w:r>
      <w:r w:rsidRPr="4A8DE877">
        <w:rPr>
          <w:rFonts w:ascii="Arial" w:hAnsi="Arial" w:cs="Arial"/>
        </w:rPr>
        <w:t>produce</w:t>
      </w:r>
      <w:r w:rsidR="003709EE" w:rsidRPr="4A8DE877">
        <w:rPr>
          <w:rFonts w:ascii="Arial" w:hAnsi="Arial" w:cs="Arial"/>
        </w:rPr>
        <w:t>s</w:t>
      </w:r>
      <w:r w:rsidRPr="4A8DE877">
        <w:rPr>
          <w:rFonts w:ascii="Arial" w:hAnsi="Arial" w:cs="Arial"/>
        </w:rPr>
        <w:t xml:space="preserve"> data that accords with the University’s high</w:t>
      </w:r>
      <w:r w:rsidR="00A01566" w:rsidRPr="4A8DE877">
        <w:rPr>
          <w:rFonts w:ascii="Arial" w:hAnsi="Arial" w:cs="Arial"/>
        </w:rPr>
        <w:t xml:space="preserve"> data </w:t>
      </w:r>
      <w:r w:rsidR="003709EE" w:rsidRPr="4A8DE877">
        <w:rPr>
          <w:rFonts w:ascii="Arial" w:hAnsi="Arial" w:cs="Arial"/>
        </w:rPr>
        <w:t>quality</w:t>
      </w:r>
      <w:r w:rsidRPr="4A8DE877">
        <w:rPr>
          <w:rFonts w:ascii="Arial" w:hAnsi="Arial" w:cs="Arial"/>
        </w:rPr>
        <w:t xml:space="preserve"> standards.</w:t>
      </w:r>
    </w:p>
    <w:p w14:paraId="00599673" w14:textId="78811CC3" w:rsidR="00A92142" w:rsidRPr="00362FE1" w:rsidRDefault="008C35C8" w:rsidP="000F6B37">
      <w:pPr>
        <w:tabs>
          <w:tab w:val="left" w:pos="426"/>
        </w:tabs>
        <w:spacing w:after="120"/>
        <w:rPr>
          <w:rFonts w:ascii="Arial" w:hAnsi="Arial" w:cs="Arial"/>
          <w:szCs w:val="22"/>
        </w:rPr>
      </w:pPr>
      <w:r>
        <w:rPr>
          <w:rFonts w:ascii="Arial" w:hAnsi="Arial" w:cs="Arial"/>
          <w:szCs w:val="22"/>
        </w:rPr>
        <w:t>The audit committee of a higher education institution (e.g.</w:t>
      </w:r>
      <w:r w:rsidR="003709EE">
        <w:rPr>
          <w:rFonts w:ascii="Arial" w:hAnsi="Arial" w:cs="Arial"/>
          <w:szCs w:val="22"/>
        </w:rPr>
        <w:t>,</w:t>
      </w:r>
      <w:r>
        <w:rPr>
          <w:rFonts w:ascii="Arial" w:hAnsi="Arial" w:cs="Arial"/>
          <w:szCs w:val="22"/>
        </w:rPr>
        <w:t xml:space="preserve"> </w:t>
      </w:r>
      <w:r w:rsidR="003709EE">
        <w:rPr>
          <w:rFonts w:ascii="Arial" w:hAnsi="Arial" w:cs="Arial"/>
          <w:szCs w:val="22"/>
        </w:rPr>
        <w:t>Oxford University’s</w:t>
      </w:r>
      <w:r>
        <w:rPr>
          <w:rFonts w:ascii="Arial" w:hAnsi="Arial" w:cs="Arial"/>
          <w:szCs w:val="22"/>
        </w:rPr>
        <w:t xml:space="preserve"> Data Assurance Group</w:t>
      </w:r>
      <w:r w:rsidR="003709EE">
        <w:rPr>
          <w:rFonts w:ascii="Arial" w:hAnsi="Arial" w:cs="Arial"/>
          <w:szCs w:val="22"/>
        </w:rPr>
        <w:t xml:space="preserve"> – DAG</w:t>
      </w:r>
      <w:r>
        <w:rPr>
          <w:rFonts w:ascii="Arial" w:hAnsi="Arial" w:cs="Arial"/>
          <w:szCs w:val="22"/>
        </w:rPr>
        <w:t xml:space="preserve">) needs to be assured that the institution’s management has assessed the risks posed by data accuracy </w:t>
      </w:r>
      <w:r w:rsidR="00E40352">
        <w:rPr>
          <w:rFonts w:ascii="Arial" w:hAnsi="Arial" w:cs="Arial"/>
          <w:szCs w:val="22"/>
        </w:rPr>
        <w:t xml:space="preserve">and </w:t>
      </w:r>
      <w:r w:rsidR="00C31CA9">
        <w:rPr>
          <w:rFonts w:ascii="Arial" w:hAnsi="Arial" w:cs="Arial"/>
          <w:szCs w:val="22"/>
        </w:rPr>
        <w:t>availability, and</w:t>
      </w:r>
      <w:r>
        <w:rPr>
          <w:rFonts w:ascii="Arial" w:hAnsi="Arial" w:cs="Arial"/>
          <w:szCs w:val="22"/>
        </w:rPr>
        <w:t xml:space="preserve"> taken appropriate mitigation actions. A data assurance risk register</w:t>
      </w:r>
      <w:r w:rsidRPr="003709EE">
        <w:rPr>
          <w:rStyle w:val="FootnoteReference"/>
        </w:rPr>
        <w:footnoteReference w:id="2"/>
      </w:r>
      <w:r>
        <w:rPr>
          <w:rFonts w:ascii="Arial" w:hAnsi="Arial" w:cs="Arial"/>
          <w:szCs w:val="22"/>
        </w:rPr>
        <w:t xml:space="preserve"> will be used for this purpose. In addition, care will be taken to guarantee the</w:t>
      </w:r>
      <w:r w:rsidRPr="005A5027">
        <w:rPr>
          <w:rFonts w:ascii="Arial" w:hAnsi="Arial" w:cs="Arial"/>
          <w:szCs w:val="22"/>
        </w:rPr>
        <w:t xml:space="preserve"> </w:t>
      </w:r>
      <w:r>
        <w:rPr>
          <w:rFonts w:ascii="Arial" w:hAnsi="Arial" w:cs="Arial"/>
          <w:szCs w:val="22"/>
        </w:rPr>
        <w:t>a</w:t>
      </w:r>
      <w:r w:rsidRPr="005A5027">
        <w:rPr>
          <w:rFonts w:ascii="Arial" w:hAnsi="Arial" w:cs="Arial"/>
          <w:szCs w:val="22"/>
        </w:rPr>
        <w:t xml:space="preserve">ccuracy, </w:t>
      </w:r>
      <w:r>
        <w:rPr>
          <w:rFonts w:ascii="Arial" w:hAnsi="Arial" w:cs="Arial"/>
          <w:szCs w:val="22"/>
        </w:rPr>
        <w:t>v</w:t>
      </w:r>
      <w:r w:rsidRPr="005A5027">
        <w:rPr>
          <w:rFonts w:ascii="Arial" w:hAnsi="Arial" w:cs="Arial"/>
          <w:szCs w:val="22"/>
        </w:rPr>
        <w:t xml:space="preserve">alidity, </w:t>
      </w:r>
      <w:r>
        <w:rPr>
          <w:rFonts w:ascii="Arial" w:hAnsi="Arial" w:cs="Arial"/>
          <w:szCs w:val="22"/>
        </w:rPr>
        <w:t>r</w:t>
      </w:r>
      <w:r w:rsidRPr="005A5027">
        <w:rPr>
          <w:rFonts w:ascii="Arial" w:hAnsi="Arial" w:cs="Arial"/>
          <w:szCs w:val="22"/>
        </w:rPr>
        <w:t xml:space="preserve">eliability, </w:t>
      </w:r>
      <w:r>
        <w:rPr>
          <w:rFonts w:ascii="Arial" w:hAnsi="Arial" w:cs="Arial"/>
          <w:szCs w:val="22"/>
        </w:rPr>
        <w:t>t</w:t>
      </w:r>
      <w:r w:rsidRPr="005A5027">
        <w:rPr>
          <w:rFonts w:ascii="Arial" w:hAnsi="Arial" w:cs="Arial"/>
          <w:szCs w:val="22"/>
        </w:rPr>
        <w:t xml:space="preserve">imeliness, </w:t>
      </w:r>
      <w:r>
        <w:rPr>
          <w:rFonts w:ascii="Arial" w:hAnsi="Arial" w:cs="Arial"/>
          <w:szCs w:val="22"/>
        </w:rPr>
        <w:t>r</w:t>
      </w:r>
      <w:r w:rsidRPr="005A5027">
        <w:rPr>
          <w:rFonts w:ascii="Arial" w:hAnsi="Arial" w:cs="Arial"/>
          <w:szCs w:val="22"/>
        </w:rPr>
        <w:t xml:space="preserve">elevance </w:t>
      </w:r>
      <w:r>
        <w:rPr>
          <w:rFonts w:ascii="Arial" w:hAnsi="Arial" w:cs="Arial"/>
          <w:szCs w:val="22"/>
        </w:rPr>
        <w:t>and completeness of the data, as well as compliance</w:t>
      </w:r>
      <w:r w:rsidR="001D1E33">
        <w:rPr>
          <w:rFonts w:ascii="Arial" w:hAnsi="Arial" w:cs="Arial"/>
          <w:szCs w:val="22"/>
        </w:rPr>
        <w:t xml:space="preserve"> where required</w:t>
      </w:r>
      <w:r w:rsidRPr="005A5027">
        <w:rPr>
          <w:rFonts w:ascii="Arial" w:hAnsi="Arial" w:cs="Arial"/>
          <w:szCs w:val="22"/>
        </w:rPr>
        <w:t>.</w:t>
      </w:r>
      <w:r w:rsidR="002C4473">
        <w:rPr>
          <w:rFonts w:ascii="Arial" w:hAnsi="Arial" w:cs="Arial"/>
          <w:szCs w:val="22"/>
        </w:rPr>
        <w:t xml:space="preserve">  </w:t>
      </w:r>
    </w:p>
    <w:p w14:paraId="07ED58A7" w14:textId="72AA7639" w:rsidR="00E37E84" w:rsidRDefault="009827D5" w:rsidP="00BF0DF7">
      <w:pPr>
        <w:pStyle w:val="Heading1"/>
      </w:pPr>
      <w:bookmarkStart w:id="2" w:name="_Toc42458122"/>
      <w:r>
        <w:t>3</w:t>
      </w:r>
      <w:r w:rsidR="00E37E84">
        <w:tab/>
        <w:t>Scope</w:t>
      </w:r>
      <w:bookmarkEnd w:id="2"/>
    </w:p>
    <w:p w14:paraId="376EABDA" w14:textId="220A32ED" w:rsidR="00E37E84" w:rsidRDefault="00B83B4C" w:rsidP="00E37E84">
      <w:pPr>
        <w:tabs>
          <w:tab w:val="left" w:pos="426"/>
        </w:tabs>
        <w:spacing w:after="120"/>
        <w:rPr>
          <w:rFonts w:ascii="Arial" w:hAnsi="Arial" w:cs="Arial"/>
          <w:szCs w:val="22"/>
        </w:rPr>
      </w:pPr>
      <w:r>
        <w:rPr>
          <w:rFonts w:ascii="Arial" w:hAnsi="Arial" w:cs="Arial"/>
          <w:szCs w:val="22"/>
        </w:rPr>
        <w:t>The AAD</w:t>
      </w:r>
      <w:r w:rsidR="00E37E84">
        <w:rPr>
          <w:rFonts w:ascii="Arial" w:hAnsi="Arial" w:cs="Arial"/>
          <w:szCs w:val="22"/>
        </w:rPr>
        <w:t xml:space="preserve"> </w:t>
      </w:r>
      <w:r w:rsidR="00F91441">
        <w:rPr>
          <w:rFonts w:ascii="Arial" w:hAnsi="Arial" w:cs="Arial"/>
          <w:szCs w:val="22"/>
        </w:rPr>
        <w:t xml:space="preserve">collects and </w:t>
      </w:r>
      <w:r w:rsidR="00E37E84">
        <w:rPr>
          <w:rFonts w:ascii="Arial" w:hAnsi="Arial" w:cs="Arial"/>
          <w:szCs w:val="22"/>
        </w:rPr>
        <w:t xml:space="preserve">produces data that is used by other University </w:t>
      </w:r>
      <w:r w:rsidR="003709EE">
        <w:rPr>
          <w:rFonts w:ascii="Arial" w:hAnsi="Arial" w:cs="Arial"/>
          <w:szCs w:val="22"/>
        </w:rPr>
        <w:t>d</w:t>
      </w:r>
      <w:r w:rsidR="00E37E84">
        <w:rPr>
          <w:rFonts w:ascii="Arial" w:hAnsi="Arial" w:cs="Arial"/>
          <w:szCs w:val="22"/>
        </w:rPr>
        <w:t xml:space="preserve">epartments to create </w:t>
      </w:r>
      <w:r w:rsidR="00E41566">
        <w:rPr>
          <w:rFonts w:ascii="Arial" w:hAnsi="Arial" w:cs="Arial"/>
          <w:szCs w:val="22"/>
        </w:rPr>
        <w:t xml:space="preserve">their </w:t>
      </w:r>
      <w:r w:rsidR="00E37E84">
        <w:rPr>
          <w:rFonts w:ascii="Arial" w:hAnsi="Arial" w:cs="Arial"/>
          <w:szCs w:val="22"/>
        </w:rPr>
        <w:t xml:space="preserve">own reports for use both within and outside the University. </w:t>
      </w:r>
      <w:r>
        <w:rPr>
          <w:rFonts w:ascii="Arial" w:hAnsi="Arial" w:cs="Arial"/>
          <w:szCs w:val="22"/>
        </w:rPr>
        <w:t>The AAD</w:t>
      </w:r>
      <w:r w:rsidR="00E37E84">
        <w:rPr>
          <w:rFonts w:ascii="Arial" w:hAnsi="Arial" w:cs="Arial"/>
          <w:szCs w:val="22"/>
        </w:rPr>
        <w:t xml:space="preserve"> also uses data that is provided by other departments for its</w:t>
      </w:r>
      <w:r w:rsidR="003709EE">
        <w:rPr>
          <w:rFonts w:ascii="Arial" w:hAnsi="Arial" w:cs="Arial"/>
          <w:szCs w:val="22"/>
        </w:rPr>
        <w:t xml:space="preserve"> </w:t>
      </w:r>
      <w:r w:rsidR="00E37E84">
        <w:rPr>
          <w:rFonts w:ascii="Arial" w:hAnsi="Arial" w:cs="Arial"/>
          <w:szCs w:val="22"/>
        </w:rPr>
        <w:t>own internal and external reporting (</w:t>
      </w:r>
      <w:r w:rsidR="003709EE">
        <w:rPr>
          <w:rFonts w:ascii="Arial" w:hAnsi="Arial" w:cs="Arial"/>
          <w:szCs w:val="22"/>
        </w:rPr>
        <w:t>e.g.</w:t>
      </w:r>
      <w:r w:rsidR="00E37E84">
        <w:rPr>
          <w:rFonts w:ascii="Arial" w:hAnsi="Arial" w:cs="Arial"/>
          <w:szCs w:val="22"/>
        </w:rPr>
        <w:t xml:space="preserve"> student data</w:t>
      </w:r>
      <w:r>
        <w:rPr>
          <w:rFonts w:ascii="Arial" w:hAnsi="Arial" w:cs="Arial"/>
          <w:szCs w:val="22"/>
        </w:rPr>
        <w:t xml:space="preserve"> held locally with departments and colleges</w:t>
      </w:r>
      <w:r w:rsidR="00E37E84">
        <w:rPr>
          <w:rFonts w:ascii="Arial" w:hAnsi="Arial" w:cs="Arial"/>
          <w:szCs w:val="22"/>
        </w:rPr>
        <w:t xml:space="preserve">, financial </w:t>
      </w:r>
      <w:r w:rsidR="003709EE">
        <w:rPr>
          <w:rFonts w:ascii="Arial" w:hAnsi="Arial" w:cs="Arial"/>
          <w:szCs w:val="22"/>
        </w:rPr>
        <w:t>data</w:t>
      </w:r>
      <w:r w:rsidR="00E37E84">
        <w:rPr>
          <w:rFonts w:ascii="Arial" w:hAnsi="Arial" w:cs="Arial"/>
          <w:szCs w:val="22"/>
        </w:rPr>
        <w:t>, etc.)</w:t>
      </w:r>
      <w:r w:rsidR="00591976">
        <w:rPr>
          <w:rFonts w:ascii="Arial" w:hAnsi="Arial" w:cs="Arial"/>
          <w:szCs w:val="22"/>
        </w:rPr>
        <w:t>.</w:t>
      </w:r>
    </w:p>
    <w:p w14:paraId="2BC3A05B" w14:textId="77777777" w:rsidR="00B83B4C" w:rsidRDefault="00E37E84" w:rsidP="000F6B37">
      <w:pPr>
        <w:tabs>
          <w:tab w:val="left" w:pos="426"/>
        </w:tabs>
        <w:spacing w:after="160"/>
        <w:rPr>
          <w:rFonts w:ascii="Arial" w:hAnsi="Arial" w:cs="Arial"/>
          <w:szCs w:val="22"/>
        </w:rPr>
      </w:pPr>
      <w:r w:rsidRPr="00E56C6B">
        <w:rPr>
          <w:rFonts w:ascii="Arial" w:hAnsi="Arial" w:cs="Arial"/>
          <w:szCs w:val="22"/>
        </w:rPr>
        <w:t>The scope of this policy includes</w:t>
      </w:r>
      <w:r>
        <w:rPr>
          <w:rFonts w:ascii="Arial" w:hAnsi="Arial" w:cs="Arial"/>
          <w:szCs w:val="22"/>
        </w:rPr>
        <w:t xml:space="preserve"> the data returns and reports </w:t>
      </w:r>
      <w:r w:rsidR="003709EE">
        <w:rPr>
          <w:rFonts w:ascii="Arial" w:hAnsi="Arial" w:cs="Arial"/>
          <w:szCs w:val="22"/>
        </w:rPr>
        <w:t>compiled</w:t>
      </w:r>
      <w:r>
        <w:rPr>
          <w:rFonts w:ascii="Arial" w:hAnsi="Arial" w:cs="Arial"/>
          <w:szCs w:val="22"/>
        </w:rPr>
        <w:t xml:space="preserve"> by </w:t>
      </w:r>
      <w:r w:rsidR="00B83B4C">
        <w:rPr>
          <w:rFonts w:ascii="Arial" w:hAnsi="Arial" w:cs="Arial"/>
          <w:szCs w:val="22"/>
        </w:rPr>
        <w:t>the AAD and also by the University’s Planning and Council Secretariat section, listed below:</w:t>
      </w:r>
    </w:p>
    <w:p w14:paraId="0AEB8945" w14:textId="77777777" w:rsidR="00FE3B4E" w:rsidRDefault="00FE3B4E" w:rsidP="00B83B4C">
      <w:pPr>
        <w:tabs>
          <w:tab w:val="left" w:pos="426"/>
        </w:tabs>
        <w:spacing w:after="0"/>
        <w:rPr>
          <w:rFonts w:ascii="Arial" w:hAnsi="Arial" w:cs="Arial"/>
          <w:szCs w:val="22"/>
        </w:rPr>
        <w:sectPr w:rsidR="00FE3B4E" w:rsidSect="00C56AE9">
          <w:headerReference w:type="default" r:id="rId12"/>
          <w:pgSz w:w="11907" w:h="16839" w:code="9"/>
          <w:pgMar w:top="1440" w:right="1440" w:bottom="1440" w:left="1440" w:header="708" w:footer="708" w:gutter="0"/>
          <w:cols w:space="708"/>
          <w:docGrid w:linePitch="360"/>
        </w:sectPr>
      </w:pPr>
    </w:p>
    <w:p w14:paraId="08FDD71D"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HESES return</w:t>
      </w:r>
    </w:p>
    <w:p w14:paraId="0D322C1C"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Student return</w:t>
      </w:r>
    </w:p>
    <w:p w14:paraId="58D2E6F7"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ITT return</w:t>
      </w:r>
    </w:p>
    <w:p w14:paraId="2DF385CC"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Aggregate Offshore return</w:t>
      </w:r>
    </w:p>
    <w:p w14:paraId="0091923E" w14:textId="77777777" w:rsidR="00B83B4C"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Unistats</w:t>
      </w:r>
    </w:p>
    <w:p w14:paraId="44782730" w14:textId="491E5EB6" w:rsidR="000867A6" w:rsidRPr="000867A6" w:rsidRDefault="000867A6" w:rsidP="003F248F">
      <w:pPr>
        <w:pStyle w:val="ListParagraph"/>
        <w:numPr>
          <w:ilvl w:val="0"/>
          <w:numId w:val="27"/>
        </w:numPr>
        <w:tabs>
          <w:tab w:val="left" w:pos="426"/>
        </w:tabs>
        <w:spacing w:after="0"/>
        <w:ind w:left="360"/>
        <w:rPr>
          <w:rFonts w:ascii="Arial" w:hAnsi="Arial" w:cs="Arial"/>
          <w:szCs w:val="22"/>
        </w:rPr>
      </w:pPr>
      <w:r w:rsidRPr="000867A6">
        <w:rPr>
          <w:rFonts w:ascii="Arial" w:hAnsi="Arial" w:cs="Arial"/>
          <w:szCs w:val="22"/>
        </w:rPr>
        <w:t>Access and Participation Plan (APP</w:t>
      </w:r>
      <w:r>
        <w:rPr>
          <w:rFonts w:ascii="Arial" w:hAnsi="Arial" w:cs="Arial"/>
          <w:szCs w:val="22"/>
        </w:rPr>
        <w:t>)</w:t>
      </w:r>
    </w:p>
    <w:p w14:paraId="161F620B" w14:textId="67AABABB" w:rsidR="000867A6" w:rsidRPr="000867A6" w:rsidRDefault="000867A6" w:rsidP="45E10E60">
      <w:pPr>
        <w:pStyle w:val="ListParagraph"/>
        <w:numPr>
          <w:ilvl w:val="0"/>
          <w:numId w:val="27"/>
        </w:numPr>
        <w:tabs>
          <w:tab w:val="left" w:pos="426"/>
        </w:tabs>
        <w:spacing w:after="0"/>
        <w:ind w:left="360"/>
        <w:rPr>
          <w:rFonts w:ascii="Arial" w:hAnsi="Arial" w:cs="Arial"/>
        </w:rPr>
        <w:sectPr w:rsidR="000867A6" w:rsidRPr="000867A6" w:rsidSect="00FE3B4E">
          <w:type w:val="continuous"/>
          <w:pgSz w:w="11907" w:h="16839" w:code="9"/>
          <w:pgMar w:top="1440" w:right="1440" w:bottom="1440" w:left="1440" w:header="708" w:footer="708" w:gutter="0"/>
          <w:cols w:space="708"/>
          <w:docGrid w:linePitch="360"/>
        </w:sectPr>
      </w:pPr>
      <w:r w:rsidRPr="45E10E60">
        <w:rPr>
          <w:rFonts w:ascii="Arial" w:hAnsi="Arial" w:cs="Arial"/>
        </w:rPr>
        <w:t>OfS Transparency Data</w:t>
      </w:r>
    </w:p>
    <w:p w14:paraId="4407B1DA" w14:textId="77777777" w:rsidR="00FE3B4E" w:rsidRDefault="00FE3B4E" w:rsidP="00FE3B4E">
      <w:pPr>
        <w:tabs>
          <w:tab w:val="left" w:pos="426"/>
        </w:tabs>
        <w:spacing w:after="0"/>
        <w:rPr>
          <w:rFonts w:ascii="Arial" w:hAnsi="Arial" w:cs="Arial"/>
          <w:szCs w:val="22"/>
        </w:rPr>
      </w:pPr>
    </w:p>
    <w:p w14:paraId="763EDBD9" w14:textId="77777777" w:rsidR="00FE3B4E" w:rsidRDefault="00FE3B4E" w:rsidP="000F6B37">
      <w:pPr>
        <w:tabs>
          <w:tab w:val="left" w:pos="426"/>
        </w:tabs>
        <w:spacing w:after="160"/>
        <w:rPr>
          <w:rFonts w:ascii="Arial" w:hAnsi="Arial" w:cs="Arial"/>
          <w:szCs w:val="22"/>
        </w:rPr>
        <w:sectPr w:rsidR="00FE3B4E" w:rsidSect="00FE3B4E">
          <w:type w:val="continuous"/>
          <w:pgSz w:w="11907" w:h="16839" w:code="9"/>
          <w:pgMar w:top="1440" w:right="1440" w:bottom="1440" w:left="1440" w:header="708" w:footer="708" w:gutter="0"/>
          <w:cols w:space="708"/>
          <w:docGrid w:linePitch="360"/>
        </w:sectPr>
      </w:pPr>
    </w:p>
    <w:p w14:paraId="648503FF" w14:textId="2D6F045F" w:rsidR="00473410" w:rsidRDefault="00661230" w:rsidP="000F6B37">
      <w:pPr>
        <w:tabs>
          <w:tab w:val="left" w:pos="426"/>
        </w:tabs>
        <w:spacing w:after="160"/>
        <w:rPr>
          <w:rFonts w:ascii="Arial" w:hAnsi="Arial" w:cs="Arial"/>
          <w:szCs w:val="22"/>
        </w:rPr>
      </w:pPr>
      <w:r>
        <w:rPr>
          <w:rFonts w:ascii="Arial" w:hAnsi="Arial" w:cs="Arial"/>
          <w:szCs w:val="22"/>
        </w:rPr>
        <w:t xml:space="preserve">The policy applies to all </w:t>
      </w:r>
      <w:r w:rsidR="003709EE">
        <w:rPr>
          <w:rFonts w:ascii="Arial" w:hAnsi="Arial" w:cs="Arial"/>
          <w:szCs w:val="22"/>
        </w:rPr>
        <w:t xml:space="preserve">staff </w:t>
      </w:r>
      <w:r>
        <w:rPr>
          <w:rFonts w:ascii="Arial" w:hAnsi="Arial" w:cs="Arial"/>
          <w:szCs w:val="22"/>
        </w:rPr>
        <w:t>involved in managing, entering and collecting data.</w:t>
      </w:r>
      <w:r w:rsidR="00F91441">
        <w:rPr>
          <w:rFonts w:ascii="Arial" w:hAnsi="Arial" w:cs="Arial"/>
          <w:szCs w:val="22"/>
        </w:rPr>
        <w:t xml:space="preserve">  Although the focus of this policy concerns student data, much of this information is initially captured as part of admissions processes and assuring the quality of data collected and stored during the admissions process is p</w:t>
      </w:r>
      <w:r w:rsidR="00A20C4C">
        <w:rPr>
          <w:rFonts w:ascii="Arial" w:hAnsi="Arial" w:cs="Arial"/>
          <w:szCs w:val="22"/>
        </w:rPr>
        <w:t>aramount. An annexe to the main policy refers directly to Admissions data.</w:t>
      </w:r>
    </w:p>
    <w:p w14:paraId="5DF74AB1" w14:textId="720F91D2" w:rsidR="00FE3B4E" w:rsidRPr="00FE3B4E" w:rsidRDefault="00FE3B4E" w:rsidP="00FE3B4E">
      <w:pPr>
        <w:tabs>
          <w:tab w:val="left" w:pos="426"/>
        </w:tabs>
        <w:spacing w:after="160"/>
        <w:rPr>
          <w:rFonts w:ascii="Arial" w:hAnsi="Arial" w:cs="Arial"/>
          <w:szCs w:val="22"/>
        </w:rPr>
      </w:pPr>
      <w:r w:rsidRPr="00FE3B4E">
        <w:rPr>
          <w:rFonts w:ascii="Arial" w:hAnsi="Arial" w:cs="Arial"/>
          <w:szCs w:val="22"/>
        </w:rPr>
        <w:t xml:space="preserve">Student data </w:t>
      </w:r>
      <w:r>
        <w:rPr>
          <w:rFonts w:ascii="Arial" w:hAnsi="Arial" w:cs="Arial"/>
          <w:szCs w:val="22"/>
        </w:rPr>
        <w:t xml:space="preserve">also </w:t>
      </w:r>
      <w:r w:rsidRPr="00FE3B4E">
        <w:rPr>
          <w:rFonts w:ascii="Arial" w:hAnsi="Arial" w:cs="Arial"/>
          <w:szCs w:val="22"/>
        </w:rPr>
        <w:t>supports a range of internal and external functions and the Student Data Quality Poli</w:t>
      </w:r>
      <w:r w:rsidR="007D5A11">
        <w:rPr>
          <w:rFonts w:ascii="Arial" w:hAnsi="Arial" w:cs="Arial"/>
          <w:szCs w:val="22"/>
        </w:rPr>
        <w:t>cy will support all these areas –</w:t>
      </w:r>
      <w:r w:rsidRPr="00FE3B4E">
        <w:rPr>
          <w:rFonts w:ascii="Arial" w:hAnsi="Arial" w:cs="Arial"/>
          <w:szCs w:val="22"/>
        </w:rPr>
        <w:t xml:space="preserve"> including</w:t>
      </w:r>
      <w:r w:rsidR="007D5A11">
        <w:rPr>
          <w:rFonts w:ascii="Arial" w:hAnsi="Arial" w:cs="Arial"/>
          <w:szCs w:val="22"/>
        </w:rPr>
        <w:t>, but not limited to</w:t>
      </w:r>
      <w:r w:rsidRPr="00FE3B4E">
        <w:rPr>
          <w:rFonts w:ascii="Arial" w:hAnsi="Arial" w:cs="Arial"/>
          <w:szCs w:val="22"/>
        </w:rPr>
        <w:t>:</w:t>
      </w:r>
    </w:p>
    <w:p w14:paraId="72F94835" w14:textId="77777777"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Fair and transparent admission processes</w:t>
      </w:r>
    </w:p>
    <w:p w14:paraId="5CCC3E86" w14:textId="22877DBD" w:rsidR="00F91441" w:rsidRPr="00FE3B4E" w:rsidRDefault="00F91441" w:rsidP="00FE3B4E">
      <w:pPr>
        <w:pStyle w:val="ListParagraph"/>
        <w:numPr>
          <w:ilvl w:val="0"/>
          <w:numId w:val="25"/>
        </w:numPr>
        <w:tabs>
          <w:tab w:val="left" w:pos="426"/>
        </w:tabs>
        <w:spacing w:after="0"/>
        <w:rPr>
          <w:rFonts w:ascii="Arial" w:hAnsi="Arial" w:cs="Arial"/>
          <w:szCs w:val="22"/>
        </w:rPr>
      </w:pPr>
      <w:r>
        <w:rPr>
          <w:rFonts w:ascii="Arial" w:hAnsi="Arial" w:cs="Arial"/>
          <w:szCs w:val="22"/>
        </w:rPr>
        <w:lastRenderedPageBreak/>
        <w:t>Athena Swan</w:t>
      </w:r>
    </w:p>
    <w:p w14:paraId="60540646" w14:textId="36FA6880"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Confirmation of student details for the </w:t>
      </w:r>
      <w:r w:rsidR="004957FD">
        <w:rPr>
          <w:rFonts w:ascii="Arial" w:hAnsi="Arial" w:cs="Arial"/>
          <w:szCs w:val="22"/>
        </w:rPr>
        <w:t>Home Office (UKVI)</w:t>
      </w:r>
    </w:p>
    <w:p w14:paraId="1281905C"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Student Loans Company</w:t>
      </w:r>
    </w:p>
    <w:p w14:paraId="0F8BE69A"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Charging and collection of student fees</w:t>
      </w:r>
    </w:p>
    <w:p w14:paraId="051A58DF"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Processing student financial support</w:t>
      </w:r>
    </w:p>
    <w:p w14:paraId="5ED01BF5"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Compiling philanthropic donor reports</w:t>
      </w:r>
    </w:p>
    <w:p w14:paraId="70CD61A3" w14:textId="01E665FB"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City Council Tax</w:t>
      </w:r>
      <w:r w:rsidR="00591976">
        <w:rPr>
          <w:rFonts w:ascii="Arial" w:hAnsi="Arial" w:cs="Arial"/>
          <w:szCs w:val="22"/>
        </w:rPr>
        <w:t xml:space="preserve"> and Electoral Register details</w:t>
      </w:r>
    </w:p>
    <w:p w14:paraId="1227B00A"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Provision of data to third parties under the requirements of the Freedom of Information Act </w:t>
      </w:r>
    </w:p>
    <w:p w14:paraId="179932FF" w14:textId="77777777"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Student support and welfare</w:t>
      </w:r>
    </w:p>
    <w:p w14:paraId="79CA4230" w14:textId="1E6C053B" w:rsidR="004957FD" w:rsidRDefault="004957FD" w:rsidP="00FE3B4E">
      <w:pPr>
        <w:pStyle w:val="ListParagraph"/>
        <w:numPr>
          <w:ilvl w:val="0"/>
          <w:numId w:val="25"/>
        </w:numPr>
        <w:tabs>
          <w:tab w:val="left" w:pos="426"/>
        </w:tabs>
        <w:spacing w:after="0"/>
        <w:rPr>
          <w:rFonts w:ascii="Arial" w:hAnsi="Arial" w:cs="Arial"/>
          <w:szCs w:val="22"/>
        </w:rPr>
      </w:pPr>
      <w:r>
        <w:rPr>
          <w:rFonts w:ascii="Arial" w:hAnsi="Arial" w:cs="Arial"/>
          <w:szCs w:val="22"/>
        </w:rPr>
        <w:t>Administration of student surveys</w:t>
      </w:r>
    </w:p>
    <w:p w14:paraId="5F5A1888" w14:textId="31116A86" w:rsidR="004957FD" w:rsidRPr="00FE3B4E" w:rsidRDefault="004957FD" w:rsidP="00FE3B4E">
      <w:pPr>
        <w:pStyle w:val="ListParagraph"/>
        <w:numPr>
          <w:ilvl w:val="0"/>
          <w:numId w:val="25"/>
        </w:numPr>
        <w:tabs>
          <w:tab w:val="left" w:pos="426"/>
        </w:tabs>
        <w:spacing w:after="0"/>
        <w:rPr>
          <w:rFonts w:ascii="Arial" w:hAnsi="Arial" w:cs="Arial"/>
          <w:szCs w:val="22"/>
        </w:rPr>
      </w:pPr>
      <w:r>
        <w:rPr>
          <w:rFonts w:ascii="Arial" w:hAnsi="Arial" w:cs="Arial"/>
          <w:szCs w:val="22"/>
        </w:rPr>
        <w:t>Annual and termly registration of all students</w:t>
      </w:r>
    </w:p>
    <w:p w14:paraId="6B461F6D"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Fair and transparent examination processes </w:t>
      </w:r>
    </w:p>
    <w:p w14:paraId="7C307AAD" w14:textId="2B9CEAFE"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Degree and confirmation purposes and provision of transcripts</w:t>
      </w:r>
      <w:r w:rsidR="00D50302">
        <w:rPr>
          <w:rFonts w:ascii="Arial" w:hAnsi="Arial" w:cs="Arial"/>
          <w:szCs w:val="22"/>
        </w:rPr>
        <w:t xml:space="preserve">, </w:t>
      </w:r>
      <w:r w:rsidRPr="00FE3B4E">
        <w:rPr>
          <w:rFonts w:ascii="Arial" w:hAnsi="Arial" w:cs="Arial"/>
          <w:szCs w:val="22"/>
        </w:rPr>
        <w:t>certificates</w:t>
      </w:r>
      <w:r w:rsidR="00D50302">
        <w:rPr>
          <w:rFonts w:ascii="Arial" w:hAnsi="Arial" w:cs="Arial"/>
          <w:szCs w:val="22"/>
        </w:rPr>
        <w:t xml:space="preserve"> and degree confirmation letters</w:t>
      </w:r>
    </w:p>
    <w:p w14:paraId="6ADF3635"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Alumni contacts and relations</w:t>
      </w:r>
    </w:p>
    <w:p w14:paraId="102F76BC"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Decision-making processes within the collegiate University (via the provision of information, data and modelling)</w:t>
      </w:r>
    </w:p>
    <w:p w14:paraId="07EAB7EF" w14:textId="23C4E26B"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Resource allocation</w:t>
      </w:r>
    </w:p>
    <w:p w14:paraId="532EE123" w14:textId="5E8F3DDF" w:rsidR="00E41566" w:rsidRPr="00FE3B4E" w:rsidRDefault="00E41566" w:rsidP="00FE3B4E">
      <w:pPr>
        <w:pStyle w:val="ListParagraph"/>
        <w:numPr>
          <w:ilvl w:val="0"/>
          <w:numId w:val="25"/>
        </w:numPr>
        <w:tabs>
          <w:tab w:val="left" w:pos="426"/>
        </w:tabs>
        <w:spacing w:after="0"/>
        <w:rPr>
          <w:rFonts w:ascii="Arial" w:hAnsi="Arial" w:cs="Arial"/>
          <w:szCs w:val="22"/>
        </w:rPr>
      </w:pPr>
      <w:r>
        <w:rPr>
          <w:rFonts w:ascii="Arial" w:hAnsi="Arial" w:cs="Arial"/>
          <w:szCs w:val="22"/>
        </w:rPr>
        <w:t>Publication of admissions and students statistics in the broader public interest</w:t>
      </w:r>
    </w:p>
    <w:p w14:paraId="529EF0B0"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Planning processes at various levels</w:t>
      </w:r>
    </w:p>
    <w:p w14:paraId="368477DD" w14:textId="77777777" w:rsidR="00FE3B4E" w:rsidRDefault="00FE3B4E" w:rsidP="00E41566">
      <w:pPr>
        <w:tabs>
          <w:tab w:val="left" w:pos="426"/>
        </w:tabs>
        <w:spacing w:after="0"/>
        <w:rPr>
          <w:rFonts w:ascii="Arial" w:hAnsi="Arial" w:cs="Arial"/>
          <w:szCs w:val="22"/>
        </w:rPr>
      </w:pPr>
    </w:p>
    <w:p w14:paraId="12F730A8" w14:textId="3C978FCB" w:rsidR="003D0627" w:rsidRPr="00E56C6B" w:rsidRDefault="00214EEA" w:rsidP="00E41566">
      <w:pPr>
        <w:pStyle w:val="Heading1"/>
        <w:spacing w:before="0"/>
        <w:ind w:left="567" w:hanging="567"/>
      </w:pPr>
      <w:bookmarkStart w:id="3" w:name="_Toc42458123"/>
      <w:r>
        <w:t>4</w:t>
      </w:r>
      <w:r>
        <w:tab/>
      </w:r>
      <w:r w:rsidR="003D0627" w:rsidRPr="00D3657D">
        <w:t>Policy</w:t>
      </w:r>
      <w:r w:rsidR="003D0627">
        <w:t xml:space="preserve"> objectives</w:t>
      </w:r>
      <w:bookmarkEnd w:id="3"/>
    </w:p>
    <w:p w14:paraId="30124891" w14:textId="77777777" w:rsidR="003D0627" w:rsidRDefault="003D0627" w:rsidP="00FE3B4E">
      <w:pPr>
        <w:tabs>
          <w:tab w:val="left" w:pos="426"/>
        </w:tabs>
        <w:spacing w:after="0"/>
        <w:rPr>
          <w:rFonts w:ascii="Arial" w:hAnsi="Arial" w:cs="Arial"/>
          <w:szCs w:val="22"/>
        </w:rPr>
      </w:pPr>
      <w:r w:rsidRPr="00F07033">
        <w:rPr>
          <w:rFonts w:ascii="Arial" w:hAnsi="Arial" w:cs="Arial"/>
          <w:szCs w:val="22"/>
        </w:rPr>
        <w:t xml:space="preserve">The </w:t>
      </w:r>
      <w:r>
        <w:rPr>
          <w:rFonts w:ascii="Arial" w:hAnsi="Arial" w:cs="Arial"/>
          <w:szCs w:val="22"/>
        </w:rPr>
        <w:t>data quality policy has six objectives:</w:t>
      </w:r>
    </w:p>
    <w:p w14:paraId="4876AA9B" w14:textId="77777777" w:rsidR="00FE3B4E" w:rsidRDefault="00FE3B4E" w:rsidP="00FE3B4E">
      <w:pPr>
        <w:tabs>
          <w:tab w:val="left" w:pos="426"/>
        </w:tabs>
        <w:spacing w:after="0"/>
        <w:rPr>
          <w:rFonts w:ascii="Arial" w:hAnsi="Arial" w:cs="Arial"/>
          <w:szCs w:val="22"/>
        </w:rPr>
      </w:pPr>
    </w:p>
    <w:p w14:paraId="0B7BE48A"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well-defined responsibilities</w:t>
      </w:r>
      <w:r w:rsidRPr="00FE3B4E">
        <w:rPr>
          <w:rFonts w:ascii="Arial" w:hAnsi="Arial" w:cs="Arial"/>
          <w:szCs w:val="22"/>
        </w:rPr>
        <w:t>;</w:t>
      </w:r>
    </w:p>
    <w:p w14:paraId="2AFB28A6"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 xml:space="preserve">ensure </w:t>
      </w:r>
      <w:r w:rsidRPr="00FE3B4E">
        <w:rPr>
          <w:rFonts w:ascii="Arial" w:hAnsi="Arial" w:cs="Arial"/>
          <w:szCs w:val="22"/>
        </w:rPr>
        <w:t xml:space="preserve">that </w:t>
      </w:r>
      <w:r w:rsidR="003D0627" w:rsidRPr="00FE3B4E">
        <w:rPr>
          <w:rFonts w:ascii="Arial" w:hAnsi="Arial" w:cs="Arial"/>
          <w:szCs w:val="22"/>
        </w:rPr>
        <w:t>proper policies, procedures, processes, systems and infrastructure are in place</w:t>
      </w:r>
      <w:r w:rsidRPr="00FE3B4E">
        <w:rPr>
          <w:rFonts w:ascii="Arial" w:hAnsi="Arial" w:cs="Arial"/>
          <w:szCs w:val="22"/>
        </w:rPr>
        <w:t>;</w:t>
      </w:r>
    </w:p>
    <w:p w14:paraId="005329B9"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the requisite level of security</w:t>
      </w:r>
      <w:r w:rsidRPr="00FE3B4E">
        <w:rPr>
          <w:rFonts w:ascii="Arial" w:hAnsi="Arial" w:cs="Arial"/>
          <w:szCs w:val="22"/>
        </w:rPr>
        <w:t>;</w:t>
      </w:r>
    </w:p>
    <w:p w14:paraId="11744147"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provide data quality assurance mechanisms</w:t>
      </w:r>
      <w:r w:rsidRPr="00FE3B4E">
        <w:rPr>
          <w:rFonts w:ascii="Arial" w:hAnsi="Arial" w:cs="Arial"/>
          <w:szCs w:val="22"/>
        </w:rPr>
        <w:t>;</w:t>
      </w:r>
    </w:p>
    <w:p w14:paraId="33F8F492"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adequate training</w:t>
      </w:r>
      <w:r w:rsidRPr="00FE3B4E">
        <w:rPr>
          <w:rFonts w:ascii="Arial" w:hAnsi="Arial" w:cs="Arial"/>
          <w:szCs w:val="22"/>
        </w:rPr>
        <w:t>; and</w:t>
      </w:r>
    </w:p>
    <w:p w14:paraId="70CB5A96" w14:textId="77777777" w:rsid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proper review and communication</w:t>
      </w:r>
      <w:r w:rsidRPr="00FE3B4E">
        <w:rPr>
          <w:rFonts w:ascii="Arial" w:hAnsi="Arial" w:cs="Arial"/>
          <w:szCs w:val="22"/>
        </w:rPr>
        <w:t>.</w:t>
      </w:r>
    </w:p>
    <w:p w14:paraId="445F1ED5" w14:textId="77777777" w:rsidR="000F6B37" w:rsidRPr="00FE3B4E" w:rsidRDefault="000F6B37" w:rsidP="00FE3B4E">
      <w:pPr>
        <w:tabs>
          <w:tab w:val="left" w:pos="426"/>
        </w:tabs>
        <w:spacing w:after="0"/>
        <w:rPr>
          <w:rFonts w:ascii="Arial" w:hAnsi="Arial" w:cs="Arial"/>
          <w:szCs w:val="22"/>
        </w:rPr>
      </w:pPr>
    </w:p>
    <w:p w14:paraId="102EB26A" w14:textId="79F458BC" w:rsidR="00E37E84" w:rsidRDefault="003D0627" w:rsidP="00E41566">
      <w:pPr>
        <w:pStyle w:val="Heading1"/>
        <w:spacing w:before="0"/>
        <w:ind w:left="567" w:hanging="567"/>
      </w:pPr>
      <w:bookmarkStart w:id="4" w:name="_Toc42458124"/>
      <w:r>
        <w:t>5</w:t>
      </w:r>
      <w:r w:rsidR="00214EEA">
        <w:tab/>
      </w:r>
      <w:r w:rsidR="00E37E84">
        <w:t>Risks</w:t>
      </w:r>
      <w:bookmarkEnd w:id="4"/>
    </w:p>
    <w:p w14:paraId="6A7F4899" w14:textId="0B843837" w:rsidR="00E37E84" w:rsidRPr="00600A5C" w:rsidRDefault="00E37E84" w:rsidP="00E37E84">
      <w:pPr>
        <w:tabs>
          <w:tab w:val="left" w:pos="426"/>
        </w:tabs>
        <w:spacing w:after="120"/>
        <w:rPr>
          <w:rFonts w:ascii="Arial" w:hAnsi="Arial" w:cs="Arial"/>
          <w:szCs w:val="22"/>
        </w:rPr>
      </w:pPr>
      <w:r w:rsidRPr="00600A5C">
        <w:rPr>
          <w:rFonts w:ascii="Arial" w:hAnsi="Arial" w:cs="Arial"/>
          <w:szCs w:val="22"/>
        </w:rPr>
        <w:t xml:space="preserve">There are </w:t>
      </w:r>
      <w:r w:rsidR="00662891">
        <w:rPr>
          <w:rFonts w:ascii="Arial" w:hAnsi="Arial" w:cs="Arial"/>
          <w:szCs w:val="22"/>
        </w:rPr>
        <w:t>several</w:t>
      </w:r>
      <w:r w:rsidRPr="00600A5C">
        <w:rPr>
          <w:rFonts w:ascii="Arial" w:hAnsi="Arial" w:cs="Arial"/>
          <w:szCs w:val="22"/>
        </w:rPr>
        <w:t xml:space="preserve"> potential risks in </w:t>
      </w:r>
      <w:r w:rsidR="00FE3B4E">
        <w:rPr>
          <w:rFonts w:ascii="Arial" w:hAnsi="Arial" w:cs="Arial"/>
          <w:szCs w:val="22"/>
        </w:rPr>
        <w:t>the AAD</w:t>
      </w:r>
      <w:r w:rsidRPr="00600A5C">
        <w:rPr>
          <w:rFonts w:ascii="Arial" w:hAnsi="Arial" w:cs="Arial"/>
          <w:szCs w:val="22"/>
        </w:rPr>
        <w:t xml:space="preserve"> </w:t>
      </w:r>
      <w:r w:rsidR="00662891">
        <w:rPr>
          <w:rFonts w:ascii="Arial" w:hAnsi="Arial" w:cs="Arial"/>
          <w:szCs w:val="22"/>
        </w:rPr>
        <w:t xml:space="preserve">that could result from </w:t>
      </w:r>
      <w:r w:rsidRPr="00600A5C">
        <w:rPr>
          <w:rFonts w:ascii="Arial" w:hAnsi="Arial" w:cs="Arial"/>
          <w:szCs w:val="22"/>
        </w:rPr>
        <w:t xml:space="preserve">producing and issuing </w:t>
      </w:r>
      <w:r w:rsidR="007D5A11">
        <w:rPr>
          <w:rFonts w:ascii="Arial" w:hAnsi="Arial" w:cs="Arial"/>
          <w:szCs w:val="22"/>
        </w:rPr>
        <w:t xml:space="preserve">inaccurate </w:t>
      </w:r>
      <w:r w:rsidRPr="00600A5C">
        <w:rPr>
          <w:rFonts w:ascii="Arial" w:hAnsi="Arial" w:cs="Arial"/>
          <w:szCs w:val="22"/>
        </w:rPr>
        <w:t>data:</w:t>
      </w:r>
    </w:p>
    <w:p w14:paraId="30110959"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Mandatory conditions of grants could be breached;</w:t>
      </w:r>
    </w:p>
    <w:p w14:paraId="18A0672A" w14:textId="77777777" w:rsidR="00FE3B4E" w:rsidRPr="00FE3B4E" w:rsidRDefault="00FE3B4E" w:rsidP="00FE3B4E">
      <w:pPr>
        <w:pStyle w:val="ListParagraph"/>
        <w:spacing w:after="0" w:line="240" w:lineRule="auto"/>
        <w:rPr>
          <w:rFonts w:ascii="Arial" w:hAnsi="Arial" w:cs="Arial"/>
          <w:szCs w:val="22"/>
        </w:rPr>
      </w:pPr>
    </w:p>
    <w:p w14:paraId="5CA262D7"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Data could give misleading internal and external impressions of institutional performance;</w:t>
      </w:r>
    </w:p>
    <w:p w14:paraId="5CB6AEDE" w14:textId="77777777" w:rsidR="00FE3B4E" w:rsidRPr="00FE3B4E" w:rsidRDefault="00FE3B4E" w:rsidP="00FE3B4E">
      <w:pPr>
        <w:spacing w:after="0" w:line="240" w:lineRule="auto"/>
        <w:rPr>
          <w:rFonts w:ascii="Arial" w:hAnsi="Arial" w:cs="Arial"/>
          <w:szCs w:val="22"/>
        </w:rPr>
      </w:pPr>
    </w:p>
    <w:p w14:paraId="675F4F8A"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 xml:space="preserve">Poor data could result in inappropriate decision-making by management across the institution; </w:t>
      </w:r>
    </w:p>
    <w:p w14:paraId="4E7B599E" w14:textId="77777777" w:rsidR="00FE3B4E" w:rsidRPr="00FE3B4E" w:rsidRDefault="00FE3B4E" w:rsidP="00FE3B4E">
      <w:pPr>
        <w:pStyle w:val="ListParagraph"/>
        <w:spacing w:after="0" w:line="240" w:lineRule="auto"/>
        <w:rPr>
          <w:rFonts w:ascii="Arial" w:hAnsi="Arial" w:cs="Arial"/>
          <w:szCs w:val="22"/>
        </w:rPr>
      </w:pPr>
    </w:p>
    <w:p w14:paraId="6D29DF3B"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students being charged inaccurate fees;</w:t>
      </w:r>
    </w:p>
    <w:p w14:paraId="7A65DCA8" w14:textId="77777777" w:rsidR="00FE3B4E" w:rsidRPr="00FE3B4E" w:rsidRDefault="00FE3B4E" w:rsidP="00FE3B4E">
      <w:pPr>
        <w:pStyle w:val="ListParagraph"/>
        <w:spacing w:after="0" w:line="240" w:lineRule="auto"/>
        <w:rPr>
          <w:rFonts w:ascii="Arial" w:hAnsi="Arial" w:cs="Arial"/>
          <w:szCs w:val="22"/>
        </w:rPr>
      </w:pPr>
    </w:p>
    <w:p w14:paraId="30CF0D8C"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incorrect information about academic performance being provided to third parties;</w:t>
      </w:r>
    </w:p>
    <w:p w14:paraId="124778B9" w14:textId="77777777" w:rsidR="00FE3B4E" w:rsidRPr="00FE3B4E" w:rsidRDefault="00FE3B4E" w:rsidP="00FE3B4E">
      <w:pPr>
        <w:pStyle w:val="ListParagraph"/>
        <w:spacing w:after="0" w:line="240" w:lineRule="auto"/>
        <w:rPr>
          <w:rFonts w:ascii="Arial" w:hAnsi="Arial" w:cs="Arial"/>
          <w:szCs w:val="22"/>
        </w:rPr>
      </w:pPr>
    </w:p>
    <w:p w14:paraId="5AEF01E9"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insufficient support (practical, financial, and other) being provided to students;</w:t>
      </w:r>
    </w:p>
    <w:p w14:paraId="4CCA647E" w14:textId="77777777" w:rsidR="004957FD" w:rsidRPr="004957FD" w:rsidRDefault="004957FD" w:rsidP="004957FD">
      <w:pPr>
        <w:pStyle w:val="ListParagraph"/>
        <w:rPr>
          <w:rFonts w:ascii="Arial" w:hAnsi="Arial" w:cs="Arial"/>
          <w:szCs w:val="22"/>
        </w:rPr>
      </w:pPr>
    </w:p>
    <w:p w14:paraId="0430521A" w14:textId="2AFE00C0" w:rsidR="004957FD" w:rsidRDefault="004957FD" w:rsidP="00FE3B4E">
      <w:pPr>
        <w:pStyle w:val="ListParagraph"/>
        <w:numPr>
          <w:ilvl w:val="2"/>
          <w:numId w:val="22"/>
        </w:numPr>
        <w:spacing w:after="0" w:line="240" w:lineRule="auto"/>
        <w:rPr>
          <w:rFonts w:ascii="Arial" w:hAnsi="Arial" w:cs="Arial"/>
          <w:szCs w:val="22"/>
        </w:rPr>
      </w:pPr>
      <w:r>
        <w:rPr>
          <w:rFonts w:ascii="Arial" w:hAnsi="Arial" w:cs="Arial"/>
          <w:szCs w:val="22"/>
        </w:rPr>
        <w:t>Inaccurate data could lead to students being refused a visa if the CAS is incorrect, or being issued with the wrong visa end date;</w:t>
      </w:r>
    </w:p>
    <w:p w14:paraId="1E292409" w14:textId="77777777" w:rsidR="00FE3B4E" w:rsidRPr="00FE3B4E" w:rsidRDefault="00FE3B4E" w:rsidP="00FE3B4E">
      <w:pPr>
        <w:pStyle w:val="ListParagraph"/>
        <w:spacing w:after="0" w:line="240" w:lineRule="auto"/>
        <w:rPr>
          <w:rFonts w:ascii="Arial" w:hAnsi="Arial" w:cs="Arial"/>
          <w:szCs w:val="22"/>
        </w:rPr>
      </w:pPr>
    </w:p>
    <w:p w14:paraId="2B581F53"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lastRenderedPageBreak/>
        <w:t>Inaccurate data could lead to under-funding;</w:t>
      </w:r>
    </w:p>
    <w:p w14:paraId="6EB67383" w14:textId="77777777" w:rsidR="00FE3B4E" w:rsidRPr="00FE3B4E" w:rsidRDefault="00FE3B4E" w:rsidP="00FE3B4E">
      <w:pPr>
        <w:pStyle w:val="ListParagraph"/>
        <w:spacing w:after="0" w:line="240" w:lineRule="auto"/>
        <w:rPr>
          <w:rFonts w:ascii="Arial" w:hAnsi="Arial" w:cs="Arial"/>
          <w:szCs w:val="22"/>
        </w:rPr>
      </w:pPr>
    </w:p>
    <w:p w14:paraId="687A69EA"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over-funding with subsequent claw-back of overpaid funds which, if significant, could impact adversely on the institution’s financial health;</w:t>
      </w:r>
    </w:p>
    <w:p w14:paraId="3B3E23A1" w14:textId="77777777" w:rsidR="00FE3B4E" w:rsidRPr="00FE3B4E" w:rsidRDefault="00FE3B4E" w:rsidP="00FE3B4E">
      <w:pPr>
        <w:pStyle w:val="ListParagraph"/>
        <w:spacing w:after="0" w:line="240" w:lineRule="auto"/>
        <w:rPr>
          <w:rFonts w:ascii="Arial" w:hAnsi="Arial" w:cs="Arial"/>
          <w:szCs w:val="22"/>
        </w:rPr>
      </w:pPr>
    </w:p>
    <w:p w14:paraId="59E9A75C" w14:textId="77777777" w:rsidR="00FE3B4E" w:rsidRP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An institution which submits inaccurate data could suffer reputational damage with public and private funders, other stakeholders and the public. In turn, this could generate additional and burdensome attention placed on the institution.</w:t>
      </w:r>
    </w:p>
    <w:p w14:paraId="1D52C85F" w14:textId="40B34D5A" w:rsidR="008C35C8" w:rsidRPr="00E56C6B" w:rsidRDefault="009827D5" w:rsidP="008C35C8">
      <w:pPr>
        <w:pStyle w:val="Heading1"/>
      </w:pPr>
      <w:bookmarkStart w:id="5" w:name="_Toc42458125"/>
      <w:r>
        <w:t>6</w:t>
      </w:r>
      <w:r w:rsidR="008C35C8">
        <w:tab/>
      </w:r>
      <w:r w:rsidR="008C35C8" w:rsidRPr="00D3657D">
        <w:t>Policy</w:t>
      </w:r>
      <w:bookmarkEnd w:id="5"/>
    </w:p>
    <w:p w14:paraId="0BDDA747" w14:textId="77777777" w:rsidR="00E37E84" w:rsidRDefault="00452EEB" w:rsidP="00E37E84">
      <w:pPr>
        <w:tabs>
          <w:tab w:val="left" w:pos="426"/>
        </w:tabs>
        <w:spacing w:after="160"/>
        <w:rPr>
          <w:rFonts w:ascii="Arial" w:hAnsi="Arial" w:cs="Arial"/>
          <w:szCs w:val="22"/>
        </w:rPr>
      </w:pPr>
      <w:r>
        <w:rPr>
          <w:rFonts w:ascii="Arial" w:hAnsi="Arial" w:cs="Arial"/>
          <w:szCs w:val="22"/>
        </w:rPr>
        <w:t xml:space="preserve">The </w:t>
      </w:r>
      <w:r w:rsidR="00E37E84" w:rsidRPr="00F07033">
        <w:rPr>
          <w:rFonts w:ascii="Arial" w:hAnsi="Arial" w:cs="Arial"/>
          <w:szCs w:val="22"/>
        </w:rPr>
        <w:t>following points constitute the policy:</w:t>
      </w:r>
    </w:p>
    <w:p w14:paraId="5166FC33" w14:textId="20FBC186" w:rsidR="00722E0F" w:rsidRPr="00F07033" w:rsidRDefault="00F80A3C" w:rsidP="00FE4DE3">
      <w:pPr>
        <w:pStyle w:val="Heading2"/>
        <w:numPr>
          <w:ilvl w:val="1"/>
          <w:numId w:val="23"/>
        </w:numPr>
        <w:ind w:left="709" w:hanging="709"/>
      </w:pPr>
      <w:bookmarkStart w:id="6" w:name="_Toc42458126"/>
      <w:r>
        <w:t>R</w:t>
      </w:r>
      <w:r w:rsidR="00722E0F">
        <w:t>esponsibilities</w:t>
      </w:r>
      <w:bookmarkEnd w:id="6"/>
    </w:p>
    <w:p w14:paraId="76E60D36" w14:textId="77777777" w:rsidR="00E165BB" w:rsidRDefault="00E37E84" w:rsidP="00FE4DE3">
      <w:pPr>
        <w:pStyle w:val="ListParagraph"/>
        <w:numPr>
          <w:ilvl w:val="2"/>
          <w:numId w:val="23"/>
        </w:numPr>
        <w:spacing w:before="120" w:after="240" w:line="240" w:lineRule="auto"/>
        <w:rPr>
          <w:rFonts w:ascii="Arial" w:hAnsi="Arial" w:cs="Arial"/>
          <w:szCs w:val="22"/>
        </w:rPr>
      </w:pPr>
      <w:r w:rsidRPr="00E165BB">
        <w:rPr>
          <w:rFonts w:ascii="Arial" w:hAnsi="Arial" w:cs="Arial"/>
          <w:szCs w:val="22"/>
        </w:rPr>
        <w:t>The</w:t>
      </w:r>
      <w:r w:rsidR="000D1C84" w:rsidRPr="00E165BB">
        <w:rPr>
          <w:rFonts w:ascii="Arial" w:hAnsi="Arial" w:cs="Arial"/>
          <w:szCs w:val="22"/>
        </w:rPr>
        <w:t xml:space="preserve"> </w:t>
      </w:r>
      <w:r w:rsidR="009A27EE">
        <w:rPr>
          <w:rFonts w:ascii="Arial" w:hAnsi="Arial" w:cs="Arial"/>
          <w:szCs w:val="22"/>
        </w:rPr>
        <w:t>Academic Registrar</w:t>
      </w:r>
      <w:r w:rsidR="000D1C84" w:rsidRPr="00E165BB">
        <w:rPr>
          <w:rFonts w:ascii="Arial" w:hAnsi="Arial" w:cs="Arial"/>
          <w:szCs w:val="22"/>
        </w:rPr>
        <w:t xml:space="preserve"> delegates </w:t>
      </w:r>
      <w:r w:rsidR="00E165BB">
        <w:rPr>
          <w:rFonts w:ascii="Arial" w:hAnsi="Arial" w:cs="Arial"/>
          <w:szCs w:val="22"/>
        </w:rPr>
        <w:t>to</w:t>
      </w:r>
      <w:r w:rsidR="000D1C84" w:rsidRPr="00E165BB">
        <w:rPr>
          <w:rFonts w:ascii="Arial" w:hAnsi="Arial" w:cs="Arial"/>
          <w:szCs w:val="22"/>
        </w:rPr>
        <w:t xml:space="preserve"> </w:t>
      </w:r>
      <w:r w:rsidRPr="00E165BB">
        <w:rPr>
          <w:rFonts w:ascii="Arial" w:hAnsi="Arial" w:cs="Arial"/>
          <w:szCs w:val="22"/>
        </w:rPr>
        <w:t>a senior individual (</w:t>
      </w:r>
      <w:r w:rsidR="00E165BB">
        <w:rPr>
          <w:rFonts w:ascii="Arial" w:hAnsi="Arial" w:cs="Arial"/>
          <w:szCs w:val="22"/>
        </w:rPr>
        <w:t xml:space="preserve">the </w:t>
      </w:r>
      <w:r w:rsidR="009A27EE">
        <w:rPr>
          <w:rFonts w:ascii="Arial" w:hAnsi="Arial" w:cs="Arial"/>
          <w:szCs w:val="22"/>
        </w:rPr>
        <w:t>Director of Student Registry</w:t>
      </w:r>
      <w:r w:rsidRPr="00E165BB">
        <w:rPr>
          <w:rFonts w:ascii="Arial" w:hAnsi="Arial" w:cs="Arial"/>
          <w:szCs w:val="22"/>
        </w:rPr>
        <w:t xml:space="preserve">) </w:t>
      </w:r>
      <w:r w:rsidR="000D1C84" w:rsidRPr="00E165BB">
        <w:rPr>
          <w:rFonts w:ascii="Arial" w:hAnsi="Arial" w:cs="Arial"/>
          <w:szCs w:val="22"/>
        </w:rPr>
        <w:t xml:space="preserve">the responsibility </w:t>
      </w:r>
      <w:r w:rsidRPr="00E165BB">
        <w:rPr>
          <w:rFonts w:ascii="Arial" w:hAnsi="Arial" w:cs="Arial"/>
          <w:szCs w:val="22"/>
        </w:rPr>
        <w:t xml:space="preserve">for ensuring data quality and compliance with </w:t>
      </w:r>
      <w:r w:rsidR="00E165BB">
        <w:rPr>
          <w:rFonts w:ascii="Arial" w:hAnsi="Arial" w:cs="Arial"/>
          <w:szCs w:val="22"/>
        </w:rPr>
        <w:t xml:space="preserve">the </w:t>
      </w:r>
      <w:r w:rsidRPr="00E165BB">
        <w:rPr>
          <w:rFonts w:ascii="Arial" w:hAnsi="Arial" w:cs="Arial"/>
          <w:szCs w:val="22"/>
        </w:rPr>
        <w:t>University policy on data quality and data assurance.</w:t>
      </w:r>
    </w:p>
    <w:p w14:paraId="7295C4E7" w14:textId="77777777" w:rsidR="00E165BB" w:rsidRDefault="00E165BB" w:rsidP="00E165BB">
      <w:pPr>
        <w:pStyle w:val="ListParagraph"/>
        <w:spacing w:after="240" w:line="240" w:lineRule="auto"/>
        <w:rPr>
          <w:rFonts w:ascii="Arial" w:hAnsi="Arial" w:cs="Arial"/>
          <w:szCs w:val="22"/>
        </w:rPr>
      </w:pPr>
    </w:p>
    <w:p w14:paraId="76AFCE85" w14:textId="49A9140A" w:rsidR="00E165BB" w:rsidRDefault="00E37E84" w:rsidP="00E165BB">
      <w:pPr>
        <w:pStyle w:val="ListParagraph"/>
        <w:numPr>
          <w:ilvl w:val="2"/>
          <w:numId w:val="23"/>
        </w:numPr>
        <w:spacing w:after="240" w:line="240" w:lineRule="auto"/>
        <w:rPr>
          <w:rFonts w:ascii="Arial" w:hAnsi="Arial" w:cs="Arial"/>
          <w:szCs w:val="22"/>
        </w:rPr>
      </w:pPr>
      <w:r w:rsidRPr="00E165BB">
        <w:rPr>
          <w:rFonts w:ascii="Arial" w:hAnsi="Arial" w:cs="Arial"/>
          <w:szCs w:val="22"/>
        </w:rPr>
        <w:t xml:space="preserve">The </w:t>
      </w:r>
      <w:r w:rsidR="009A27EE">
        <w:rPr>
          <w:rFonts w:ascii="Arial" w:hAnsi="Arial" w:cs="Arial"/>
          <w:szCs w:val="22"/>
        </w:rPr>
        <w:t>Director of Student Registry</w:t>
      </w:r>
      <w:r w:rsidR="00373EBA">
        <w:rPr>
          <w:rFonts w:ascii="Arial" w:hAnsi="Arial" w:cs="Arial"/>
          <w:szCs w:val="22"/>
        </w:rPr>
        <w:t>, or delegated nominee,</w:t>
      </w:r>
      <w:r w:rsidRPr="00E165BB">
        <w:rPr>
          <w:rFonts w:ascii="Arial" w:hAnsi="Arial" w:cs="Arial"/>
          <w:szCs w:val="22"/>
        </w:rPr>
        <w:t xml:space="preserve"> represents </w:t>
      </w:r>
      <w:r w:rsidR="009A27EE">
        <w:rPr>
          <w:rFonts w:ascii="Arial" w:hAnsi="Arial" w:cs="Arial"/>
          <w:szCs w:val="22"/>
        </w:rPr>
        <w:t>the AAD</w:t>
      </w:r>
      <w:r w:rsidRPr="00E165BB">
        <w:rPr>
          <w:rFonts w:ascii="Arial" w:hAnsi="Arial" w:cs="Arial"/>
          <w:szCs w:val="22"/>
        </w:rPr>
        <w:t xml:space="preserve"> </w:t>
      </w:r>
      <w:r w:rsidR="00FE4DE3">
        <w:rPr>
          <w:rFonts w:ascii="Arial" w:hAnsi="Arial" w:cs="Arial"/>
          <w:szCs w:val="22"/>
        </w:rPr>
        <w:t xml:space="preserve">at </w:t>
      </w:r>
      <w:r w:rsidRPr="00E165BB">
        <w:rPr>
          <w:rFonts w:ascii="Arial" w:hAnsi="Arial" w:cs="Arial"/>
          <w:szCs w:val="22"/>
        </w:rPr>
        <w:t xml:space="preserve">the </w:t>
      </w:r>
      <w:r w:rsidR="00FE4DE3">
        <w:rPr>
          <w:rFonts w:ascii="Arial" w:hAnsi="Arial" w:cs="Arial"/>
          <w:szCs w:val="22"/>
        </w:rPr>
        <w:t>DAG</w:t>
      </w:r>
      <w:r w:rsidRPr="00E165BB">
        <w:rPr>
          <w:rFonts w:ascii="Arial" w:hAnsi="Arial" w:cs="Arial"/>
          <w:szCs w:val="22"/>
        </w:rPr>
        <w:t>.</w:t>
      </w:r>
    </w:p>
    <w:p w14:paraId="5192C737" w14:textId="77777777" w:rsidR="00E165BB" w:rsidRPr="00E165BB" w:rsidRDefault="00E165BB" w:rsidP="00E165BB">
      <w:pPr>
        <w:pStyle w:val="ListParagraph"/>
        <w:rPr>
          <w:rFonts w:ascii="Arial" w:hAnsi="Arial" w:cs="Arial"/>
          <w:szCs w:val="22"/>
        </w:rPr>
      </w:pPr>
    </w:p>
    <w:p w14:paraId="06F16F69" w14:textId="3379408A" w:rsidR="00B936DC" w:rsidRDefault="00B936DC" w:rsidP="00B936DC">
      <w:pPr>
        <w:pStyle w:val="ListParagraph"/>
        <w:numPr>
          <w:ilvl w:val="2"/>
          <w:numId w:val="23"/>
        </w:numPr>
        <w:spacing w:after="240" w:line="240" w:lineRule="auto"/>
        <w:rPr>
          <w:rFonts w:ascii="Arial" w:hAnsi="Arial" w:cs="Arial"/>
          <w:szCs w:val="22"/>
        </w:rPr>
      </w:pPr>
      <w:r w:rsidRPr="00B936DC">
        <w:rPr>
          <w:rFonts w:ascii="Arial" w:hAnsi="Arial" w:cs="Arial"/>
          <w:szCs w:val="22"/>
        </w:rPr>
        <w:t xml:space="preserve">AAD sections </w:t>
      </w:r>
      <w:r w:rsidR="00952502">
        <w:rPr>
          <w:rFonts w:ascii="Arial" w:hAnsi="Arial" w:cs="Arial"/>
          <w:szCs w:val="22"/>
        </w:rPr>
        <w:t xml:space="preserve">will review annually to ensure that they </w:t>
      </w:r>
      <w:r w:rsidRPr="00B936DC">
        <w:rPr>
          <w:rFonts w:ascii="Arial" w:hAnsi="Arial" w:cs="Arial"/>
          <w:szCs w:val="22"/>
        </w:rPr>
        <w:t>have appropriate policies, systems and procedures to s</w:t>
      </w:r>
      <w:r w:rsidR="00952502">
        <w:rPr>
          <w:rFonts w:ascii="Arial" w:hAnsi="Arial" w:cs="Arial"/>
          <w:szCs w:val="22"/>
        </w:rPr>
        <w:t>ecure the quality of the data they record and use</w:t>
      </w:r>
      <w:r w:rsidRPr="00B936DC">
        <w:rPr>
          <w:rFonts w:ascii="Arial" w:hAnsi="Arial" w:cs="Arial"/>
          <w:szCs w:val="22"/>
        </w:rPr>
        <w:t xml:space="preserve"> for </w:t>
      </w:r>
      <w:r w:rsidR="00952502">
        <w:rPr>
          <w:rFonts w:ascii="Arial" w:hAnsi="Arial" w:cs="Arial"/>
          <w:szCs w:val="22"/>
        </w:rPr>
        <w:t>their</w:t>
      </w:r>
      <w:r w:rsidRPr="00B936DC">
        <w:rPr>
          <w:rFonts w:ascii="Arial" w:hAnsi="Arial" w:cs="Arial"/>
          <w:szCs w:val="22"/>
        </w:rPr>
        <w:t xml:space="preserve"> reporting for each of </w:t>
      </w:r>
      <w:r w:rsidR="00952502">
        <w:rPr>
          <w:rFonts w:ascii="Arial" w:hAnsi="Arial" w:cs="Arial"/>
          <w:szCs w:val="22"/>
        </w:rPr>
        <w:t>their</w:t>
      </w:r>
      <w:r w:rsidRPr="00B936DC">
        <w:rPr>
          <w:rFonts w:ascii="Arial" w:hAnsi="Arial" w:cs="Arial"/>
          <w:szCs w:val="22"/>
        </w:rPr>
        <w:t xml:space="preserve"> returns. This includes effective communication with other areas of the AAD to ensure appropriate standards for data quality are maintained. Controls should be reviewed annually using the DAG risk registers to ensure they are working effectively and the outcome of the review should be reported to the DAG.</w:t>
      </w:r>
    </w:p>
    <w:p w14:paraId="774BCE3B" w14:textId="77777777" w:rsidR="00B936DC" w:rsidRPr="00B936DC" w:rsidRDefault="00B936DC" w:rsidP="00B936DC">
      <w:pPr>
        <w:pStyle w:val="ListParagraph"/>
        <w:rPr>
          <w:rFonts w:ascii="Arial" w:hAnsi="Arial" w:cs="Arial"/>
          <w:szCs w:val="22"/>
        </w:rPr>
      </w:pPr>
    </w:p>
    <w:p w14:paraId="3233AB64" w14:textId="39D4BBBB" w:rsidR="00E165BB" w:rsidRDefault="00952502" w:rsidP="00E165BB">
      <w:pPr>
        <w:pStyle w:val="ListParagraph"/>
        <w:numPr>
          <w:ilvl w:val="2"/>
          <w:numId w:val="23"/>
        </w:numPr>
        <w:spacing w:after="240" w:line="240" w:lineRule="auto"/>
        <w:rPr>
          <w:rFonts w:ascii="Arial" w:hAnsi="Arial" w:cs="Arial"/>
          <w:szCs w:val="22"/>
        </w:rPr>
      </w:pPr>
      <w:r>
        <w:rPr>
          <w:rFonts w:ascii="Arial" w:hAnsi="Arial" w:cs="Arial"/>
          <w:szCs w:val="22"/>
        </w:rPr>
        <w:t>The person responsible for producing each external data return should also be</w:t>
      </w:r>
      <w:r w:rsidR="002B35A4" w:rsidRPr="00E165BB">
        <w:rPr>
          <w:rFonts w:ascii="Arial" w:hAnsi="Arial" w:cs="Arial"/>
          <w:szCs w:val="22"/>
        </w:rPr>
        <w:t xml:space="preserve"> responsible for producing a data assurance risk register for each return, using the template produced by the University</w:t>
      </w:r>
      <w:r w:rsidR="00A01566">
        <w:rPr>
          <w:rFonts w:ascii="Arial" w:hAnsi="Arial" w:cs="Arial"/>
          <w:szCs w:val="22"/>
        </w:rPr>
        <w:t>.</w:t>
      </w:r>
      <w:r w:rsidR="00D16240">
        <w:rPr>
          <w:rStyle w:val="FootnoteReference"/>
          <w:rFonts w:ascii="Arial" w:hAnsi="Arial" w:cs="Arial"/>
          <w:szCs w:val="22"/>
        </w:rPr>
        <w:footnoteReference w:id="3"/>
      </w:r>
      <w:r w:rsidR="002B35A4" w:rsidRPr="00E165BB">
        <w:rPr>
          <w:rFonts w:ascii="Arial" w:hAnsi="Arial" w:cs="Arial"/>
          <w:szCs w:val="22"/>
        </w:rPr>
        <w:t xml:space="preserve"> The risk register should be based on a risk assessment. </w:t>
      </w:r>
      <w:r w:rsidR="00783F40" w:rsidRPr="00E165BB">
        <w:rPr>
          <w:rFonts w:ascii="Arial" w:hAnsi="Arial" w:cs="Arial"/>
          <w:szCs w:val="22"/>
        </w:rPr>
        <w:t>T</w:t>
      </w:r>
      <w:r w:rsidR="002B35A4" w:rsidRPr="00E165BB">
        <w:rPr>
          <w:rFonts w:ascii="Arial" w:hAnsi="Arial" w:cs="Arial"/>
          <w:szCs w:val="22"/>
        </w:rPr>
        <w:t xml:space="preserve">his procedure </w:t>
      </w:r>
      <w:r w:rsidR="00783F40" w:rsidRPr="00E165BB">
        <w:rPr>
          <w:rFonts w:ascii="Arial" w:hAnsi="Arial" w:cs="Arial"/>
          <w:szCs w:val="22"/>
        </w:rPr>
        <w:t xml:space="preserve">should be used </w:t>
      </w:r>
      <w:r w:rsidR="002B35A4" w:rsidRPr="00E165BB">
        <w:rPr>
          <w:rFonts w:ascii="Arial" w:hAnsi="Arial" w:cs="Arial"/>
          <w:szCs w:val="22"/>
        </w:rPr>
        <w:t>for every other significant return or report.</w:t>
      </w:r>
    </w:p>
    <w:p w14:paraId="0342DBD8" w14:textId="77777777" w:rsidR="00E165BB" w:rsidRPr="00E165BB" w:rsidRDefault="00E165BB" w:rsidP="00E41566">
      <w:pPr>
        <w:pStyle w:val="ListParagraph"/>
        <w:spacing w:after="0"/>
        <w:rPr>
          <w:rFonts w:ascii="Arial" w:hAnsi="Arial" w:cs="Arial"/>
          <w:szCs w:val="22"/>
        </w:rPr>
      </w:pPr>
    </w:p>
    <w:p w14:paraId="36F8B002" w14:textId="133AE2B1" w:rsidR="00722E0F" w:rsidRPr="00722E0F" w:rsidRDefault="006659FD" w:rsidP="00FE4DE3">
      <w:pPr>
        <w:pStyle w:val="Heading2"/>
        <w:numPr>
          <w:ilvl w:val="1"/>
          <w:numId w:val="23"/>
        </w:numPr>
        <w:spacing w:after="120"/>
        <w:ind w:left="709" w:hanging="709"/>
      </w:pPr>
      <w:bookmarkStart w:id="7" w:name="_Toc42458127"/>
      <w:r>
        <w:t>P</w:t>
      </w:r>
      <w:r w:rsidR="00722E0F" w:rsidRPr="00722E0F">
        <w:t>olicies, procedures, processes</w:t>
      </w:r>
      <w:r w:rsidR="00CF2DC8">
        <w:t>,</w:t>
      </w:r>
      <w:r w:rsidR="00722E0F" w:rsidRPr="00722E0F">
        <w:t xml:space="preserve"> systems</w:t>
      </w:r>
      <w:bookmarkEnd w:id="7"/>
    </w:p>
    <w:p w14:paraId="7D84FB97"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Major pieces of work which will be submitted to public bodies should always be subject to a formal review process, including the sign off of the HESA returns.</w:t>
      </w:r>
    </w:p>
    <w:p w14:paraId="71B4CFE8" w14:textId="77777777" w:rsidR="00B936DC" w:rsidRPr="00B936DC" w:rsidRDefault="00B936DC" w:rsidP="00B936DC">
      <w:pPr>
        <w:pStyle w:val="ListParagraph"/>
        <w:spacing w:after="0" w:line="240" w:lineRule="auto"/>
        <w:rPr>
          <w:rFonts w:ascii="Arial" w:hAnsi="Arial" w:cs="Arial"/>
          <w:szCs w:val="22"/>
        </w:rPr>
      </w:pPr>
    </w:p>
    <w:p w14:paraId="4098E174"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AAD sections will ensure that data submission processes focus on securing data which is accurate, valid, reliable, timely, relevant and complete.</w:t>
      </w:r>
    </w:p>
    <w:p w14:paraId="440E07D1" w14:textId="77777777" w:rsidR="00B936DC" w:rsidRPr="00B936DC" w:rsidRDefault="00B936DC" w:rsidP="00B936DC">
      <w:pPr>
        <w:pStyle w:val="ListParagraph"/>
        <w:spacing w:after="0" w:line="240" w:lineRule="auto"/>
        <w:rPr>
          <w:rFonts w:ascii="Arial" w:hAnsi="Arial" w:cs="Arial"/>
          <w:szCs w:val="22"/>
        </w:rPr>
      </w:pPr>
    </w:p>
    <w:p w14:paraId="694EAD3F"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AAD sections will ensure that information systems have built-in controls to minimise the scope of human error or manipulation and prevent erroneous data entry, missing data or unauthorised data changes. </w:t>
      </w:r>
    </w:p>
    <w:p w14:paraId="0A593F4E" w14:textId="77777777" w:rsidR="00B936DC" w:rsidRPr="00B936DC" w:rsidRDefault="00B936DC" w:rsidP="00B936DC">
      <w:pPr>
        <w:pStyle w:val="ListParagraph"/>
        <w:spacing w:after="0" w:line="240" w:lineRule="auto"/>
        <w:rPr>
          <w:rFonts w:ascii="Arial" w:hAnsi="Arial" w:cs="Arial"/>
          <w:szCs w:val="22"/>
        </w:rPr>
      </w:pPr>
    </w:p>
    <w:p w14:paraId="15D588DB" w14:textId="5678D0B8"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AAD sections will put in place arrangements that are focussed on ensuring that data </w:t>
      </w:r>
      <w:r w:rsidR="0040229F">
        <w:rPr>
          <w:rFonts w:ascii="Arial" w:hAnsi="Arial" w:cs="Arial"/>
          <w:szCs w:val="22"/>
        </w:rPr>
        <w:t>underlying any</w:t>
      </w:r>
      <w:r w:rsidR="0040229F" w:rsidRPr="00B936DC">
        <w:rPr>
          <w:rFonts w:ascii="Arial" w:hAnsi="Arial" w:cs="Arial"/>
          <w:szCs w:val="22"/>
        </w:rPr>
        <w:t xml:space="preserve"> </w:t>
      </w:r>
      <w:r w:rsidRPr="00B936DC">
        <w:rPr>
          <w:rFonts w:ascii="Arial" w:hAnsi="Arial" w:cs="Arial"/>
          <w:szCs w:val="22"/>
        </w:rPr>
        <w:t xml:space="preserve">reported information are actively used in decision-making processes and are subject to a system of internal control and validation. </w:t>
      </w:r>
    </w:p>
    <w:p w14:paraId="3BEFE757" w14:textId="77777777" w:rsidR="00B936DC" w:rsidRPr="00B936DC" w:rsidRDefault="00B936DC" w:rsidP="00B936DC">
      <w:pPr>
        <w:pStyle w:val="ListParagraph"/>
        <w:spacing w:after="0" w:line="240" w:lineRule="auto"/>
        <w:rPr>
          <w:rFonts w:ascii="Arial" w:hAnsi="Arial" w:cs="Arial"/>
          <w:szCs w:val="22"/>
        </w:rPr>
      </w:pPr>
    </w:p>
    <w:p w14:paraId="7D8ACDC4" w14:textId="687D0D3E"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Student Registry will work closely with Planning and other areas of the </w:t>
      </w:r>
      <w:r w:rsidR="00952502">
        <w:rPr>
          <w:rFonts w:ascii="Arial" w:hAnsi="Arial" w:cs="Arial"/>
          <w:szCs w:val="22"/>
        </w:rPr>
        <w:t>University</w:t>
      </w:r>
      <w:r w:rsidRPr="00B936DC">
        <w:rPr>
          <w:rFonts w:ascii="Arial" w:hAnsi="Arial" w:cs="Arial"/>
          <w:szCs w:val="22"/>
        </w:rPr>
        <w:t xml:space="preserve"> that manage student data, to monitor data quality, particularly for data supplied to public bodies.</w:t>
      </w:r>
    </w:p>
    <w:p w14:paraId="5104DE40" w14:textId="77777777" w:rsidR="00B936DC" w:rsidRPr="00B936DC" w:rsidRDefault="00B936DC" w:rsidP="00B936DC">
      <w:pPr>
        <w:pStyle w:val="ListParagraph"/>
        <w:spacing w:after="0" w:line="240" w:lineRule="auto"/>
        <w:rPr>
          <w:rFonts w:ascii="Arial" w:hAnsi="Arial" w:cs="Arial"/>
          <w:szCs w:val="22"/>
        </w:rPr>
      </w:pPr>
    </w:p>
    <w:p w14:paraId="42CF1571"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Student Registry will work closely with IT Services to ensure that the accuracy of data stored within the data warehouse is maintained and monitored.</w:t>
      </w:r>
    </w:p>
    <w:p w14:paraId="1D7661E0" w14:textId="77777777" w:rsidR="00B936DC" w:rsidRPr="00B936DC" w:rsidRDefault="00B936DC" w:rsidP="00B936DC">
      <w:pPr>
        <w:pStyle w:val="ListParagraph"/>
        <w:spacing w:after="0" w:line="240" w:lineRule="auto"/>
        <w:rPr>
          <w:rFonts w:ascii="Arial" w:hAnsi="Arial" w:cs="Arial"/>
          <w:szCs w:val="22"/>
        </w:rPr>
      </w:pPr>
    </w:p>
    <w:p w14:paraId="61958F56" w14:textId="25E01C2A"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AAD sections will encourage the </w:t>
      </w:r>
      <w:r w:rsidR="00DD1B1A">
        <w:rPr>
          <w:rFonts w:ascii="Arial" w:hAnsi="Arial" w:cs="Arial"/>
          <w:szCs w:val="22"/>
        </w:rPr>
        <w:t xml:space="preserve">efficient </w:t>
      </w:r>
      <w:r w:rsidRPr="00B936DC">
        <w:rPr>
          <w:rFonts w:ascii="Arial" w:hAnsi="Arial" w:cs="Arial"/>
          <w:szCs w:val="22"/>
        </w:rPr>
        <w:t xml:space="preserve">use of data by staff across the collegiate university through enhanced reporting mechanisms to improve data quality. </w:t>
      </w:r>
    </w:p>
    <w:p w14:paraId="023DE75D" w14:textId="5FB4B319" w:rsidR="00722E0F" w:rsidRDefault="006659FD" w:rsidP="00B7332C">
      <w:pPr>
        <w:pStyle w:val="Heading2"/>
        <w:numPr>
          <w:ilvl w:val="1"/>
          <w:numId w:val="23"/>
        </w:numPr>
        <w:spacing w:after="120"/>
      </w:pPr>
      <w:bookmarkStart w:id="8" w:name="_Toc42458128"/>
      <w:r>
        <w:lastRenderedPageBreak/>
        <w:t>S</w:t>
      </w:r>
      <w:r w:rsidR="00722E0F">
        <w:t>ecurity</w:t>
      </w:r>
      <w:bookmarkEnd w:id="8"/>
    </w:p>
    <w:p w14:paraId="1BE1795C" w14:textId="1A91182F" w:rsidR="00B7332C" w:rsidRPr="00B7332C" w:rsidRDefault="00E37E84" w:rsidP="45E10E60">
      <w:pPr>
        <w:pStyle w:val="ListParagraph"/>
        <w:numPr>
          <w:ilvl w:val="2"/>
          <w:numId w:val="23"/>
        </w:numPr>
        <w:spacing w:after="240" w:line="240" w:lineRule="auto"/>
        <w:rPr>
          <w:rFonts w:ascii="Arial" w:hAnsi="Arial" w:cs="Arial"/>
        </w:rPr>
      </w:pPr>
      <w:r w:rsidRPr="45E10E60">
        <w:rPr>
          <w:rFonts w:ascii="Arial" w:hAnsi="Arial" w:cs="Arial"/>
        </w:rPr>
        <w:t xml:space="preserve">Data </w:t>
      </w:r>
      <w:r w:rsidR="00783F40" w:rsidRPr="45E10E60">
        <w:rPr>
          <w:rFonts w:ascii="Arial" w:hAnsi="Arial" w:cs="Arial"/>
        </w:rPr>
        <w:t xml:space="preserve">covered by this policy </w:t>
      </w:r>
      <w:r w:rsidRPr="45E10E60">
        <w:rPr>
          <w:rFonts w:ascii="Arial" w:hAnsi="Arial" w:cs="Arial"/>
        </w:rPr>
        <w:t xml:space="preserve">should not be </w:t>
      </w:r>
      <w:r w:rsidR="00B7332C" w:rsidRPr="45E10E60">
        <w:rPr>
          <w:rFonts w:ascii="Arial" w:hAnsi="Arial" w:cs="Arial"/>
        </w:rPr>
        <w:t>disseminated inside</w:t>
      </w:r>
      <w:r w:rsidRPr="45E10E60">
        <w:rPr>
          <w:rFonts w:ascii="Arial" w:hAnsi="Arial" w:cs="Arial"/>
        </w:rPr>
        <w:t xml:space="preserve"> or outside </w:t>
      </w:r>
      <w:r w:rsidR="00B936DC" w:rsidRPr="45E10E60">
        <w:rPr>
          <w:rFonts w:ascii="Arial" w:hAnsi="Arial" w:cs="Arial"/>
        </w:rPr>
        <w:t>the AAD</w:t>
      </w:r>
      <w:r w:rsidRPr="45E10E60">
        <w:rPr>
          <w:rFonts w:ascii="Arial" w:hAnsi="Arial" w:cs="Arial"/>
        </w:rPr>
        <w:t xml:space="preserve"> other than by the </w:t>
      </w:r>
      <w:r w:rsidR="00990325" w:rsidRPr="45E10E60">
        <w:rPr>
          <w:rFonts w:ascii="Arial" w:hAnsi="Arial" w:cs="Arial"/>
        </w:rPr>
        <w:t>Head of the AAD Section,</w:t>
      </w:r>
      <w:r w:rsidR="00B936DC" w:rsidRPr="45E10E60">
        <w:rPr>
          <w:rFonts w:ascii="Arial" w:hAnsi="Arial" w:cs="Arial"/>
        </w:rPr>
        <w:t xml:space="preserve"> or with the knowledge of them</w:t>
      </w:r>
      <w:r w:rsidRPr="45E10E60">
        <w:rPr>
          <w:rFonts w:ascii="Arial" w:hAnsi="Arial" w:cs="Arial"/>
        </w:rPr>
        <w:t>, except where the confidentiality level allows it</w:t>
      </w:r>
      <w:r w:rsidR="00B25BF4" w:rsidRPr="45E10E60">
        <w:rPr>
          <w:rFonts w:ascii="Arial" w:hAnsi="Arial" w:cs="Arial"/>
        </w:rPr>
        <w:t xml:space="preserve">, or </w:t>
      </w:r>
      <w:r w:rsidR="00E41566" w:rsidRPr="45E10E60">
        <w:rPr>
          <w:rFonts w:ascii="Arial" w:hAnsi="Arial" w:cs="Arial"/>
        </w:rPr>
        <w:t xml:space="preserve">the dissemination is within parameters previously agreed </w:t>
      </w:r>
      <w:r w:rsidR="00B25BF4" w:rsidRPr="45E10E60">
        <w:rPr>
          <w:rFonts w:ascii="Arial" w:hAnsi="Arial" w:cs="Arial"/>
        </w:rPr>
        <w:t xml:space="preserve">with the </w:t>
      </w:r>
      <w:r w:rsidR="00990325" w:rsidRPr="45E10E60">
        <w:rPr>
          <w:rFonts w:ascii="Arial" w:hAnsi="Arial" w:cs="Arial"/>
        </w:rPr>
        <w:t>Head of the AAD Section</w:t>
      </w:r>
      <w:r w:rsidRPr="45E10E60">
        <w:rPr>
          <w:rFonts w:ascii="Arial" w:hAnsi="Arial" w:cs="Arial"/>
        </w:rPr>
        <w:t>.</w:t>
      </w:r>
    </w:p>
    <w:p w14:paraId="33F97619" w14:textId="77777777" w:rsidR="00B7332C" w:rsidRDefault="00B7332C" w:rsidP="00B7332C">
      <w:pPr>
        <w:pStyle w:val="ListParagraph"/>
        <w:spacing w:after="240" w:line="240" w:lineRule="auto"/>
        <w:rPr>
          <w:rFonts w:ascii="Arial" w:hAnsi="Arial" w:cs="Arial"/>
          <w:szCs w:val="22"/>
        </w:rPr>
      </w:pPr>
    </w:p>
    <w:p w14:paraId="043465FE" w14:textId="386A9813" w:rsidR="00B7332C" w:rsidRDefault="00990325" w:rsidP="00B7332C">
      <w:pPr>
        <w:pStyle w:val="ListParagraph"/>
        <w:numPr>
          <w:ilvl w:val="2"/>
          <w:numId w:val="23"/>
        </w:numPr>
        <w:spacing w:after="240" w:line="240" w:lineRule="auto"/>
        <w:rPr>
          <w:rFonts w:ascii="Arial" w:hAnsi="Arial" w:cs="Arial"/>
          <w:szCs w:val="22"/>
        </w:rPr>
      </w:pPr>
      <w:r>
        <w:rPr>
          <w:rFonts w:ascii="Arial" w:hAnsi="Arial" w:cs="Arial"/>
          <w:szCs w:val="22"/>
        </w:rPr>
        <w:t>AAD sections</w:t>
      </w:r>
      <w:r w:rsidR="00B936DC" w:rsidRPr="00B7332C">
        <w:rPr>
          <w:rFonts w:ascii="Arial" w:hAnsi="Arial" w:cs="Arial"/>
          <w:szCs w:val="22"/>
        </w:rPr>
        <w:t xml:space="preserve"> </w:t>
      </w:r>
      <w:r w:rsidR="002B35A4" w:rsidRPr="00B7332C">
        <w:rPr>
          <w:rFonts w:ascii="Arial" w:hAnsi="Arial" w:cs="Arial"/>
          <w:szCs w:val="22"/>
        </w:rPr>
        <w:t>will be responsible for ensuring that appropriate levels of security are in place to protect data and that they are in line with Un</w:t>
      </w:r>
      <w:r w:rsidR="00B7332C">
        <w:rPr>
          <w:rFonts w:ascii="Arial" w:hAnsi="Arial" w:cs="Arial"/>
          <w:szCs w:val="22"/>
        </w:rPr>
        <w:t>iversity and/or d</w:t>
      </w:r>
      <w:r w:rsidR="002B35A4" w:rsidRPr="00B7332C">
        <w:rPr>
          <w:rFonts w:ascii="Arial" w:hAnsi="Arial" w:cs="Arial"/>
          <w:szCs w:val="22"/>
        </w:rPr>
        <w:t>epartmental policies.</w:t>
      </w:r>
    </w:p>
    <w:p w14:paraId="69396AA2" w14:textId="77777777" w:rsidR="00B7332C" w:rsidRPr="00B7332C" w:rsidRDefault="00B7332C" w:rsidP="00B7332C">
      <w:pPr>
        <w:pStyle w:val="ListParagraph"/>
        <w:rPr>
          <w:rFonts w:ascii="Arial" w:hAnsi="Arial" w:cs="Arial"/>
          <w:szCs w:val="22"/>
        </w:rPr>
      </w:pPr>
    </w:p>
    <w:p w14:paraId="5ABCACE1" w14:textId="26A5F590" w:rsidR="00A00732" w:rsidRPr="00B7332C" w:rsidRDefault="00990325" w:rsidP="00B7332C">
      <w:pPr>
        <w:pStyle w:val="ListParagraph"/>
        <w:numPr>
          <w:ilvl w:val="2"/>
          <w:numId w:val="23"/>
        </w:numPr>
        <w:spacing w:after="240" w:line="240" w:lineRule="auto"/>
        <w:rPr>
          <w:rFonts w:ascii="Arial" w:hAnsi="Arial" w:cs="Arial"/>
          <w:szCs w:val="22"/>
        </w:rPr>
      </w:pPr>
      <w:r>
        <w:rPr>
          <w:rFonts w:ascii="Arial" w:hAnsi="Arial" w:cs="Arial"/>
          <w:szCs w:val="22"/>
        </w:rPr>
        <w:t>AAD sections</w:t>
      </w:r>
      <w:r w:rsidR="00CB6B33" w:rsidRPr="00B7332C">
        <w:rPr>
          <w:rFonts w:ascii="Arial" w:hAnsi="Arial" w:cs="Arial"/>
          <w:szCs w:val="22"/>
        </w:rPr>
        <w:t xml:space="preserve"> </w:t>
      </w:r>
      <w:r w:rsidR="00A00732" w:rsidRPr="00B7332C">
        <w:rPr>
          <w:rFonts w:ascii="Arial" w:hAnsi="Arial" w:cs="Arial"/>
          <w:szCs w:val="22"/>
        </w:rPr>
        <w:t>will ensure that data is stored in a secure environment not accessible by unauthorised users or systems, and that appropriate backup mechanism</w:t>
      </w:r>
      <w:r w:rsidR="00B7332C">
        <w:rPr>
          <w:rFonts w:ascii="Arial" w:hAnsi="Arial" w:cs="Arial"/>
          <w:szCs w:val="22"/>
        </w:rPr>
        <w:t>s</w:t>
      </w:r>
      <w:r w:rsidR="00A00732" w:rsidRPr="00B7332C">
        <w:rPr>
          <w:rFonts w:ascii="Arial" w:hAnsi="Arial" w:cs="Arial"/>
          <w:szCs w:val="22"/>
        </w:rPr>
        <w:t xml:space="preserve"> and contingency </w:t>
      </w:r>
      <w:r w:rsidR="00F50CCA" w:rsidRPr="00B7332C">
        <w:rPr>
          <w:rFonts w:ascii="Arial" w:hAnsi="Arial" w:cs="Arial"/>
          <w:szCs w:val="22"/>
        </w:rPr>
        <w:t>measures</w:t>
      </w:r>
      <w:r w:rsidR="00A00732" w:rsidRPr="00B7332C">
        <w:rPr>
          <w:rFonts w:ascii="Arial" w:hAnsi="Arial" w:cs="Arial"/>
          <w:szCs w:val="22"/>
        </w:rPr>
        <w:t xml:space="preserve"> exist to guarantee business continuity.</w:t>
      </w:r>
    </w:p>
    <w:p w14:paraId="13412063" w14:textId="77777777" w:rsidR="00B7332C" w:rsidRDefault="00B7332C" w:rsidP="0085057B">
      <w:pPr>
        <w:pStyle w:val="ListParagraph"/>
        <w:spacing w:after="0"/>
      </w:pPr>
    </w:p>
    <w:p w14:paraId="448437FA" w14:textId="4E290768" w:rsidR="002B35A4" w:rsidRDefault="002B35A4" w:rsidP="00B7332C">
      <w:pPr>
        <w:pStyle w:val="Heading2"/>
        <w:numPr>
          <w:ilvl w:val="1"/>
          <w:numId w:val="23"/>
        </w:numPr>
        <w:spacing w:after="120"/>
      </w:pPr>
      <w:bookmarkStart w:id="9" w:name="_Toc42458129"/>
      <w:r>
        <w:t>Data quality assurance</w:t>
      </w:r>
      <w:bookmarkEnd w:id="9"/>
    </w:p>
    <w:p w14:paraId="1F644CA3" w14:textId="4C79E363" w:rsidR="00B7332C" w:rsidRDefault="00E37E84" w:rsidP="00B7332C">
      <w:pPr>
        <w:pStyle w:val="ListParagraph"/>
        <w:numPr>
          <w:ilvl w:val="2"/>
          <w:numId w:val="23"/>
        </w:numPr>
        <w:spacing w:after="240" w:line="240" w:lineRule="auto"/>
        <w:rPr>
          <w:rFonts w:ascii="Arial" w:hAnsi="Arial" w:cs="Arial"/>
          <w:szCs w:val="22"/>
        </w:rPr>
      </w:pPr>
      <w:r w:rsidRPr="00B7332C">
        <w:rPr>
          <w:rFonts w:ascii="Arial" w:hAnsi="Arial" w:cs="Arial"/>
          <w:szCs w:val="22"/>
        </w:rPr>
        <w:t>A risk assessment will be carried out for all statutory returns</w:t>
      </w:r>
      <w:r w:rsidR="00CB6B33" w:rsidRPr="00B7332C">
        <w:rPr>
          <w:rFonts w:ascii="Arial" w:hAnsi="Arial" w:cs="Arial"/>
          <w:szCs w:val="22"/>
        </w:rPr>
        <w:t xml:space="preserve"> by the individual in charge of the return</w:t>
      </w:r>
      <w:r w:rsidRPr="00B7332C">
        <w:rPr>
          <w:rFonts w:ascii="Arial" w:hAnsi="Arial" w:cs="Arial"/>
          <w:szCs w:val="22"/>
        </w:rPr>
        <w:t xml:space="preserve">. </w:t>
      </w:r>
    </w:p>
    <w:p w14:paraId="65DCC262" w14:textId="77777777" w:rsidR="00B7332C" w:rsidRDefault="00B7332C" w:rsidP="00B7332C">
      <w:pPr>
        <w:pStyle w:val="ListParagraph"/>
        <w:spacing w:before="120" w:after="240" w:line="240" w:lineRule="auto"/>
        <w:rPr>
          <w:rFonts w:ascii="Arial" w:hAnsi="Arial" w:cs="Arial"/>
          <w:szCs w:val="22"/>
        </w:rPr>
      </w:pPr>
    </w:p>
    <w:p w14:paraId="611A1A24" w14:textId="42CD2C6A"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The </w:t>
      </w:r>
      <w:r w:rsidR="00C12432">
        <w:rPr>
          <w:rFonts w:ascii="Arial" w:hAnsi="Arial" w:cs="Arial"/>
          <w:szCs w:val="22"/>
        </w:rPr>
        <w:t>individual</w:t>
      </w:r>
      <w:r w:rsidRPr="00B7332C">
        <w:rPr>
          <w:rFonts w:ascii="Arial" w:hAnsi="Arial" w:cs="Arial"/>
          <w:szCs w:val="22"/>
        </w:rPr>
        <w:t xml:space="preserve"> should review and update the data assurance risk register on an annual basis, in advance of submitting the return.</w:t>
      </w:r>
    </w:p>
    <w:p w14:paraId="4169D08A" w14:textId="77777777" w:rsidR="00B7332C" w:rsidRPr="00B7332C" w:rsidRDefault="00B7332C" w:rsidP="00B7332C">
      <w:pPr>
        <w:pStyle w:val="ListParagraph"/>
        <w:rPr>
          <w:rFonts w:ascii="Arial" w:hAnsi="Arial" w:cs="Arial"/>
          <w:szCs w:val="22"/>
        </w:rPr>
      </w:pPr>
    </w:p>
    <w:p w14:paraId="13720278" w14:textId="02B7871A"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All data assurance forms will be approved by </w:t>
      </w:r>
      <w:r w:rsidR="00B7332C">
        <w:rPr>
          <w:rFonts w:ascii="Arial" w:hAnsi="Arial" w:cs="Arial"/>
          <w:szCs w:val="22"/>
        </w:rPr>
        <w:t xml:space="preserve">the </w:t>
      </w:r>
      <w:r w:rsidRPr="00B7332C">
        <w:rPr>
          <w:rFonts w:ascii="Arial" w:hAnsi="Arial" w:cs="Arial"/>
          <w:szCs w:val="22"/>
        </w:rPr>
        <w:t xml:space="preserve">Director of </w:t>
      </w:r>
      <w:r w:rsidR="00C12432">
        <w:rPr>
          <w:rFonts w:ascii="Arial" w:hAnsi="Arial" w:cs="Arial"/>
          <w:szCs w:val="22"/>
        </w:rPr>
        <w:t>Student Registry</w:t>
      </w:r>
      <w:r w:rsidRPr="00B7332C">
        <w:rPr>
          <w:rFonts w:ascii="Arial" w:hAnsi="Arial" w:cs="Arial"/>
          <w:szCs w:val="22"/>
        </w:rPr>
        <w:t>.</w:t>
      </w:r>
    </w:p>
    <w:p w14:paraId="17D58240" w14:textId="77777777" w:rsidR="00B7332C" w:rsidRPr="00B7332C" w:rsidRDefault="00B7332C" w:rsidP="00B7332C">
      <w:pPr>
        <w:pStyle w:val="ListParagraph"/>
        <w:rPr>
          <w:rFonts w:ascii="Arial" w:hAnsi="Arial" w:cs="Arial"/>
          <w:szCs w:val="22"/>
        </w:rPr>
      </w:pPr>
    </w:p>
    <w:p w14:paraId="74F27DC1" w14:textId="77777777"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Where the return is </w:t>
      </w:r>
      <w:r w:rsidR="00CB6B33" w:rsidRPr="00B7332C">
        <w:rPr>
          <w:rFonts w:ascii="Arial" w:hAnsi="Arial" w:cs="Arial"/>
          <w:szCs w:val="22"/>
        </w:rPr>
        <w:t xml:space="preserve">produced for </w:t>
      </w:r>
      <w:r w:rsidR="00B7332C">
        <w:rPr>
          <w:rFonts w:ascii="Arial" w:hAnsi="Arial" w:cs="Arial"/>
          <w:szCs w:val="22"/>
        </w:rPr>
        <w:t>external</w:t>
      </w:r>
      <w:r w:rsidR="00CB6B33" w:rsidRPr="00B7332C">
        <w:rPr>
          <w:rFonts w:ascii="Arial" w:hAnsi="Arial" w:cs="Arial"/>
          <w:szCs w:val="22"/>
        </w:rPr>
        <w:t xml:space="preserve"> use,</w:t>
      </w:r>
      <w:r w:rsidRPr="00B7332C">
        <w:rPr>
          <w:rFonts w:ascii="Arial" w:hAnsi="Arial" w:cs="Arial"/>
          <w:szCs w:val="22"/>
        </w:rPr>
        <w:t xml:space="preserve"> the data assurance form will be submitted to DAG in line with the University’s Data Q</w:t>
      </w:r>
      <w:r w:rsidR="00B7332C">
        <w:rPr>
          <w:rFonts w:ascii="Arial" w:hAnsi="Arial" w:cs="Arial"/>
          <w:szCs w:val="22"/>
        </w:rPr>
        <w:t>uality and Data Assurance policies</w:t>
      </w:r>
      <w:r w:rsidRPr="00B7332C">
        <w:rPr>
          <w:rFonts w:ascii="Arial" w:hAnsi="Arial" w:cs="Arial"/>
          <w:szCs w:val="22"/>
        </w:rPr>
        <w:t>.</w:t>
      </w:r>
    </w:p>
    <w:p w14:paraId="15CF5146" w14:textId="77777777" w:rsidR="00B7332C" w:rsidRPr="00B7332C" w:rsidRDefault="00B7332C" w:rsidP="00B7332C">
      <w:pPr>
        <w:pStyle w:val="ListParagraph"/>
        <w:rPr>
          <w:rFonts w:ascii="Arial" w:hAnsi="Arial" w:cs="Arial"/>
          <w:szCs w:val="22"/>
        </w:rPr>
      </w:pPr>
    </w:p>
    <w:p w14:paraId="4D6D9D28" w14:textId="77777777" w:rsidR="00B7332C" w:rsidRDefault="00B7332C" w:rsidP="00B7332C">
      <w:pPr>
        <w:pStyle w:val="ListParagraph"/>
        <w:numPr>
          <w:ilvl w:val="2"/>
          <w:numId w:val="23"/>
        </w:numPr>
        <w:spacing w:before="120" w:after="240" w:line="240" w:lineRule="auto"/>
        <w:rPr>
          <w:rFonts w:ascii="Arial" w:hAnsi="Arial" w:cs="Arial"/>
          <w:szCs w:val="22"/>
        </w:rPr>
      </w:pPr>
      <w:r>
        <w:rPr>
          <w:rFonts w:ascii="Arial" w:hAnsi="Arial" w:cs="Arial"/>
          <w:szCs w:val="22"/>
        </w:rPr>
        <w:t>Where data is estimated</w:t>
      </w:r>
      <w:r w:rsidR="00883B70" w:rsidRPr="00B7332C">
        <w:rPr>
          <w:rFonts w:ascii="Arial" w:hAnsi="Arial" w:cs="Arial"/>
          <w:szCs w:val="22"/>
        </w:rPr>
        <w:t xml:space="preserve"> the reasons for the estimation should be clearly stated.</w:t>
      </w:r>
    </w:p>
    <w:p w14:paraId="0132E040" w14:textId="77777777" w:rsidR="00B7332C" w:rsidRPr="00B7332C" w:rsidRDefault="00B7332C" w:rsidP="00B7332C">
      <w:pPr>
        <w:pStyle w:val="ListParagraph"/>
        <w:rPr>
          <w:rFonts w:ascii="Arial" w:hAnsi="Arial" w:cs="Arial"/>
          <w:szCs w:val="22"/>
        </w:rPr>
      </w:pPr>
    </w:p>
    <w:p w14:paraId="17D1AD20" w14:textId="77777777" w:rsidR="00B7332C" w:rsidRDefault="00883B70"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Audit files should be kept for each return which contains evidence of the source of the data and the scrutiny process. Audit files could be memos, reports, annotated final reports, etc.</w:t>
      </w:r>
    </w:p>
    <w:p w14:paraId="61EB6F1A" w14:textId="77777777" w:rsidR="00B7332C" w:rsidRPr="00B7332C" w:rsidRDefault="00B7332C" w:rsidP="00B7332C">
      <w:pPr>
        <w:pStyle w:val="ListParagraph"/>
        <w:rPr>
          <w:rFonts w:ascii="Arial" w:hAnsi="Arial" w:cs="Arial"/>
          <w:szCs w:val="22"/>
        </w:rPr>
      </w:pPr>
    </w:p>
    <w:p w14:paraId="201232EB" w14:textId="49D9BD02" w:rsidR="00B7332C" w:rsidRDefault="00883B70"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Where </w:t>
      </w:r>
      <w:r w:rsidR="00C12432">
        <w:rPr>
          <w:rFonts w:ascii="Arial" w:hAnsi="Arial" w:cs="Arial"/>
          <w:szCs w:val="22"/>
        </w:rPr>
        <w:t>the AAD</w:t>
      </w:r>
      <w:r w:rsidRPr="00B7332C">
        <w:rPr>
          <w:rFonts w:ascii="Arial" w:hAnsi="Arial" w:cs="Arial"/>
          <w:szCs w:val="22"/>
        </w:rPr>
        <w:t xml:space="preserve"> makes a data return that relies on data obtained from other University departments, the data is expected to have </w:t>
      </w:r>
      <w:r w:rsidR="00B7332C">
        <w:rPr>
          <w:rFonts w:ascii="Arial" w:hAnsi="Arial" w:cs="Arial"/>
          <w:szCs w:val="22"/>
        </w:rPr>
        <w:t>been subjected to</w:t>
      </w:r>
      <w:r w:rsidRPr="00B7332C">
        <w:rPr>
          <w:rFonts w:ascii="Arial" w:hAnsi="Arial" w:cs="Arial"/>
          <w:szCs w:val="22"/>
        </w:rPr>
        <w:t xml:space="preserve"> an appropriate data quality check by the issuing department. The issuing department will be expected to confirm that the data is appropriate for the use proposed and is appropriately assured. </w:t>
      </w:r>
      <w:r w:rsidR="00C12432">
        <w:rPr>
          <w:rFonts w:ascii="Arial" w:hAnsi="Arial" w:cs="Arial"/>
          <w:szCs w:val="22"/>
        </w:rPr>
        <w:t>The AAD</w:t>
      </w:r>
      <w:r w:rsidRPr="00B7332C">
        <w:rPr>
          <w:rFonts w:ascii="Arial" w:hAnsi="Arial" w:cs="Arial"/>
          <w:szCs w:val="22"/>
        </w:rPr>
        <w:t xml:space="preserve"> will undertake rudimentary validation checks against similar data issued previously to</w:t>
      </w:r>
      <w:r w:rsidR="00251C36" w:rsidRPr="00B7332C">
        <w:rPr>
          <w:rFonts w:ascii="Arial" w:hAnsi="Arial" w:cs="Arial"/>
          <w:szCs w:val="22"/>
        </w:rPr>
        <w:t xml:space="preserve"> identify</w:t>
      </w:r>
      <w:r w:rsidRPr="00B7332C">
        <w:rPr>
          <w:rFonts w:ascii="Arial" w:hAnsi="Arial" w:cs="Arial"/>
          <w:szCs w:val="22"/>
        </w:rPr>
        <w:t xml:space="preserve"> potential inconsistencies.</w:t>
      </w:r>
    </w:p>
    <w:p w14:paraId="753823E8" w14:textId="77777777" w:rsidR="00B7332C" w:rsidRPr="00B7332C" w:rsidRDefault="00B7332C" w:rsidP="0085057B">
      <w:pPr>
        <w:pStyle w:val="ListParagraph"/>
        <w:spacing w:after="0"/>
        <w:rPr>
          <w:rFonts w:ascii="Arial" w:hAnsi="Arial" w:cs="Arial"/>
          <w:szCs w:val="22"/>
        </w:rPr>
      </w:pPr>
    </w:p>
    <w:p w14:paraId="31AB764C" w14:textId="41E71D30" w:rsidR="002B35A4" w:rsidRDefault="006659FD" w:rsidP="004D33EE">
      <w:pPr>
        <w:pStyle w:val="Heading2"/>
        <w:numPr>
          <w:ilvl w:val="1"/>
          <w:numId w:val="23"/>
        </w:numPr>
        <w:spacing w:after="120"/>
      </w:pPr>
      <w:bookmarkStart w:id="10" w:name="_Toc42458130"/>
      <w:r>
        <w:t>T</w:t>
      </w:r>
      <w:r w:rsidR="002B35A4">
        <w:t>raining</w:t>
      </w:r>
      <w:bookmarkEnd w:id="10"/>
    </w:p>
    <w:p w14:paraId="10A43BF0" w14:textId="453EC651" w:rsidR="00C12432" w:rsidRDefault="00C12432" w:rsidP="00C12432">
      <w:pPr>
        <w:pStyle w:val="ListParagraph"/>
        <w:numPr>
          <w:ilvl w:val="2"/>
          <w:numId w:val="23"/>
        </w:numPr>
        <w:spacing w:after="0" w:line="240" w:lineRule="auto"/>
        <w:rPr>
          <w:rFonts w:ascii="Arial" w:hAnsi="Arial" w:cs="Arial"/>
          <w:szCs w:val="22"/>
        </w:rPr>
      </w:pPr>
      <w:r w:rsidRPr="00B936DC">
        <w:rPr>
          <w:rFonts w:ascii="Arial" w:hAnsi="Arial" w:cs="Arial"/>
          <w:szCs w:val="22"/>
        </w:rPr>
        <w:t>AAD sections will put in place arrangements to ensure that members of staff have the knowledge, competencies and capacity for their role in relation to data quality. This will be achieved by maintaining an up-to-date training policy and through the personal development review process.</w:t>
      </w:r>
    </w:p>
    <w:p w14:paraId="6331EB6F" w14:textId="77777777" w:rsidR="00EB625A" w:rsidRDefault="00EB625A" w:rsidP="00C12432">
      <w:pPr>
        <w:pStyle w:val="ListParagraph"/>
        <w:spacing w:after="0" w:line="240" w:lineRule="auto"/>
        <w:rPr>
          <w:rFonts w:ascii="Arial" w:hAnsi="Arial" w:cs="Arial"/>
          <w:szCs w:val="22"/>
        </w:rPr>
      </w:pPr>
    </w:p>
    <w:p w14:paraId="2B2DE2A9" w14:textId="15722783" w:rsidR="00883B70" w:rsidRDefault="009E448E" w:rsidP="00D01DF3">
      <w:pPr>
        <w:pStyle w:val="Heading2"/>
        <w:numPr>
          <w:ilvl w:val="1"/>
          <w:numId w:val="23"/>
        </w:numPr>
        <w:spacing w:after="120"/>
      </w:pPr>
      <w:bookmarkStart w:id="11" w:name="_Toc42458131"/>
      <w:r>
        <w:t>Review and communication</w:t>
      </w:r>
      <w:bookmarkEnd w:id="11"/>
    </w:p>
    <w:p w14:paraId="1A5D266B" w14:textId="77777777" w:rsidR="00255C15" w:rsidRPr="00255C15" w:rsidRDefault="00255C15" w:rsidP="00255C15">
      <w:pPr>
        <w:pStyle w:val="ListParagraph"/>
        <w:numPr>
          <w:ilvl w:val="2"/>
          <w:numId w:val="23"/>
        </w:numPr>
        <w:spacing w:after="240" w:line="240" w:lineRule="auto"/>
        <w:rPr>
          <w:rFonts w:ascii="Arial" w:hAnsi="Arial" w:cs="Arial"/>
          <w:szCs w:val="22"/>
        </w:rPr>
      </w:pPr>
      <w:r>
        <w:rPr>
          <w:rFonts w:ascii="Arial" w:hAnsi="Arial" w:cs="Arial"/>
          <w:szCs w:val="22"/>
        </w:rPr>
        <w:t xml:space="preserve">The </w:t>
      </w:r>
      <w:r w:rsidR="00B936DC">
        <w:rPr>
          <w:rFonts w:ascii="Arial" w:hAnsi="Arial" w:cs="Arial"/>
          <w:szCs w:val="22"/>
        </w:rPr>
        <w:t>Student</w:t>
      </w:r>
      <w:r w:rsidR="00E37E84" w:rsidRPr="00255C15">
        <w:rPr>
          <w:rFonts w:ascii="Arial" w:hAnsi="Arial" w:cs="Arial"/>
          <w:szCs w:val="22"/>
        </w:rPr>
        <w:t xml:space="preserve"> Data Quality Policy will be reviewed on an annual basis and/or when there is any up</w:t>
      </w:r>
      <w:r w:rsidR="00A01566">
        <w:rPr>
          <w:rFonts w:ascii="Arial" w:hAnsi="Arial" w:cs="Arial"/>
          <w:szCs w:val="22"/>
        </w:rPr>
        <w:t>dating of the University’s over</w:t>
      </w:r>
      <w:r w:rsidR="00E37E84" w:rsidRPr="00255C15">
        <w:rPr>
          <w:rFonts w:ascii="Arial" w:hAnsi="Arial" w:cs="Arial"/>
          <w:szCs w:val="22"/>
        </w:rPr>
        <w:t>arching policy.</w:t>
      </w:r>
    </w:p>
    <w:p w14:paraId="0297931E" w14:textId="77777777" w:rsidR="00255C15" w:rsidRDefault="00255C15" w:rsidP="00255C15">
      <w:pPr>
        <w:pStyle w:val="ListParagraph"/>
        <w:spacing w:after="240" w:line="240" w:lineRule="auto"/>
        <w:rPr>
          <w:rFonts w:ascii="Arial" w:hAnsi="Arial" w:cs="Arial"/>
          <w:szCs w:val="22"/>
        </w:rPr>
      </w:pPr>
    </w:p>
    <w:p w14:paraId="0BF39AE0" w14:textId="77777777" w:rsidR="00A533E6" w:rsidRPr="00255C15" w:rsidRDefault="00B936DC" w:rsidP="00255C15">
      <w:pPr>
        <w:pStyle w:val="ListParagraph"/>
        <w:numPr>
          <w:ilvl w:val="2"/>
          <w:numId w:val="23"/>
        </w:numPr>
        <w:spacing w:after="240" w:line="240" w:lineRule="auto"/>
        <w:rPr>
          <w:rFonts w:ascii="Arial" w:hAnsi="Arial" w:cs="Arial"/>
          <w:szCs w:val="22"/>
        </w:rPr>
        <w:sectPr w:rsidR="00A533E6" w:rsidRPr="00255C15" w:rsidSect="00FE3B4E">
          <w:type w:val="continuous"/>
          <w:pgSz w:w="11907" w:h="16839" w:code="9"/>
          <w:pgMar w:top="1440" w:right="1440" w:bottom="1440" w:left="1440" w:header="708" w:footer="708" w:gutter="0"/>
          <w:cols w:space="708"/>
          <w:docGrid w:linePitch="360"/>
        </w:sectPr>
      </w:pPr>
      <w:r>
        <w:rPr>
          <w:rFonts w:ascii="Arial" w:hAnsi="Arial" w:cs="Arial"/>
          <w:szCs w:val="22"/>
        </w:rPr>
        <w:t>The AAD</w:t>
      </w:r>
      <w:r w:rsidR="00E37E84" w:rsidRPr="00255C15">
        <w:rPr>
          <w:rFonts w:ascii="Arial" w:hAnsi="Arial" w:cs="Arial"/>
          <w:szCs w:val="22"/>
        </w:rPr>
        <w:t xml:space="preserve"> will ensure that this </w:t>
      </w:r>
      <w:r w:rsidR="00A533E6" w:rsidRPr="00255C15">
        <w:rPr>
          <w:rFonts w:ascii="Arial" w:hAnsi="Arial" w:cs="Arial"/>
          <w:szCs w:val="22"/>
        </w:rPr>
        <w:t xml:space="preserve">policy is available </w:t>
      </w:r>
      <w:r w:rsidR="00093A3A" w:rsidRPr="00255C15">
        <w:rPr>
          <w:rFonts w:ascii="Arial" w:hAnsi="Arial" w:cs="Arial"/>
          <w:szCs w:val="22"/>
        </w:rPr>
        <w:t xml:space="preserve">and communicated </w:t>
      </w:r>
      <w:r w:rsidR="00B93AA7" w:rsidRPr="00255C15">
        <w:rPr>
          <w:rFonts w:ascii="Arial" w:hAnsi="Arial" w:cs="Arial"/>
          <w:szCs w:val="22"/>
        </w:rPr>
        <w:t>to all stakeholders</w:t>
      </w:r>
      <w:r w:rsidR="001331DF" w:rsidRPr="00255C15">
        <w:rPr>
          <w:rFonts w:ascii="Arial" w:hAnsi="Arial" w:cs="Arial"/>
          <w:szCs w:val="22"/>
        </w:rPr>
        <w:t>.</w:t>
      </w:r>
    </w:p>
    <w:p w14:paraId="275DA487" w14:textId="718F5887" w:rsidR="004E53C1" w:rsidRDefault="00B37DE0" w:rsidP="004E53C1">
      <w:pPr>
        <w:pStyle w:val="Heading1"/>
      </w:pPr>
      <w:bookmarkStart w:id="12" w:name="_Toc42458132"/>
      <w:bookmarkStart w:id="13" w:name="_Toc533157059"/>
      <w:bookmarkStart w:id="14" w:name="_Toc533157062"/>
      <w:r>
        <w:lastRenderedPageBreak/>
        <w:t>Annexe</w:t>
      </w:r>
      <w:r w:rsidR="004E53C1">
        <w:t>: Admissions</w:t>
      </w:r>
      <w:bookmarkEnd w:id="12"/>
    </w:p>
    <w:p w14:paraId="210811D4" w14:textId="77777777" w:rsidR="004E53C1" w:rsidRPr="00DF0019" w:rsidRDefault="004E53C1" w:rsidP="004E53C1">
      <w:pPr>
        <w:pStyle w:val="Heading1"/>
      </w:pPr>
      <w:bookmarkStart w:id="15" w:name="_Toc42458133"/>
      <w:r>
        <w:t>A.1</w:t>
      </w:r>
      <w:r>
        <w:tab/>
        <w:t>Introduction</w:t>
      </w:r>
      <w:bookmarkEnd w:id="13"/>
      <w:bookmarkEnd w:id="15"/>
    </w:p>
    <w:p w14:paraId="4DA0A544" w14:textId="77777777" w:rsidR="004E53C1" w:rsidRDefault="004E53C1" w:rsidP="004E53C1">
      <w:pPr>
        <w:tabs>
          <w:tab w:val="left" w:pos="426"/>
        </w:tabs>
        <w:spacing w:after="120"/>
        <w:rPr>
          <w:rFonts w:ascii="Arial" w:hAnsi="Arial" w:cs="Arial"/>
          <w:szCs w:val="22"/>
        </w:rPr>
      </w:pPr>
      <w:r>
        <w:rPr>
          <w:rFonts w:ascii="Arial" w:hAnsi="Arial" w:cs="Arial"/>
          <w:szCs w:val="22"/>
        </w:rPr>
        <w:t xml:space="preserve">Data captured at the admissions stage form the core of the student record, and are key to the data quality of the student record.  These data are used extensively for successful applicants who go on to enrol, for example as part of the University’s statutory returns identified in section 3 above. </w:t>
      </w:r>
    </w:p>
    <w:p w14:paraId="26F104D6" w14:textId="77777777" w:rsidR="004E53C1" w:rsidRPr="00362FE1" w:rsidRDefault="004E53C1" w:rsidP="004E53C1">
      <w:pPr>
        <w:tabs>
          <w:tab w:val="left" w:pos="426"/>
        </w:tabs>
        <w:spacing w:after="160"/>
        <w:rPr>
          <w:rFonts w:ascii="Arial" w:hAnsi="Arial" w:cs="Arial"/>
          <w:szCs w:val="22"/>
        </w:rPr>
      </w:pPr>
      <w:r>
        <w:rPr>
          <w:rFonts w:ascii="Arial" w:hAnsi="Arial" w:cs="Arial"/>
          <w:szCs w:val="22"/>
        </w:rPr>
        <w:t xml:space="preserve">The aim of the student data quality policy – admissions annexe is to mitigate the specific risks associated with admissions data identified in section A.2 (below), </w:t>
      </w:r>
      <w:r w:rsidRPr="00E56C6B">
        <w:rPr>
          <w:rFonts w:ascii="Arial" w:hAnsi="Arial" w:cs="Arial"/>
          <w:szCs w:val="22"/>
        </w:rPr>
        <w:t xml:space="preserve">and </w:t>
      </w:r>
      <w:r>
        <w:rPr>
          <w:rFonts w:ascii="Arial" w:hAnsi="Arial" w:cs="Arial"/>
          <w:szCs w:val="22"/>
        </w:rPr>
        <w:t xml:space="preserve">to </w:t>
      </w:r>
      <w:r w:rsidRPr="00E56C6B">
        <w:rPr>
          <w:rFonts w:ascii="Arial" w:hAnsi="Arial" w:cs="Arial"/>
          <w:szCs w:val="22"/>
        </w:rPr>
        <w:t xml:space="preserve">support the overarching </w:t>
      </w:r>
      <w:r>
        <w:rPr>
          <w:rFonts w:ascii="Arial" w:hAnsi="Arial" w:cs="Arial"/>
          <w:szCs w:val="22"/>
        </w:rPr>
        <w:t>student d</w:t>
      </w:r>
      <w:r w:rsidRPr="00E56C6B">
        <w:rPr>
          <w:rFonts w:ascii="Arial" w:hAnsi="Arial" w:cs="Arial"/>
          <w:szCs w:val="22"/>
        </w:rPr>
        <w:t xml:space="preserve">ata </w:t>
      </w:r>
      <w:r>
        <w:rPr>
          <w:rFonts w:ascii="Arial" w:hAnsi="Arial" w:cs="Arial"/>
          <w:szCs w:val="22"/>
        </w:rPr>
        <w:t>q</w:t>
      </w:r>
      <w:r w:rsidRPr="00E56C6B">
        <w:rPr>
          <w:rFonts w:ascii="Arial" w:hAnsi="Arial" w:cs="Arial"/>
          <w:szCs w:val="22"/>
        </w:rPr>
        <w:t xml:space="preserve">uality </w:t>
      </w:r>
      <w:r>
        <w:rPr>
          <w:rFonts w:ascii="Arial" w:hAnsi="Arial" w:cs="Arial"/>
          <w:szCs w:val="22"/>
        </w:rPr>
        <w:t>p</w:t>
      </w:r>
      <w:r w:rsidRPr="00E56C6B">
        <w:rPr>
          <w:rFonts w:ascii="Arial" w:hAnsi="Arial" w:cs="Arial"/>
          <w:szCs w:val="22"/>
        </w:rPr>
        <w:t>olicy</w:t>
      </w:r>
      <w:r>
        <w:rPr>
          <w:rFonts w:ascii="Arial" w:hAnsi="Arial" w:cs="Arial"/>
          <w:szCs w:val="22"/>
        </w:rPr>
        <w:t xml:space="preserve">. </w:t>
      </w:r>
    </w:p>
    <w:p w14:paraId="07534523" w14:textId="77777777" w:rsidR="004E53C1" w:rsidRDefault="004E53C1" w:rsidP="004E53C1">
      <w:pPr>
        <w:pStyle w:val="Heading1"/>
        <w:ind w:left="567" w:hanging="567"/>
      </w:pPr>
      <w:bookmarkStart w:id="16" w:name="_Toc533157060"/>
      <w:bookmarkStart w:id="17" w:name="_Toc42458134"/>
      <w:r>
        <w:t>A.2</w:t>
      </w:r>
      <w:r>
        <w:tab/>
        <w:t>Admissions – Specific Risks</w:t>
      </w:r>
      <w:bookmarkEnd w:id="16"/>
      <w:bookmarkEnd w:id="17"/>
    </w:p>
    <w:p w14:paraId="208FF674" w14:textId="77777777" w:rsidR="004E53C1" w:rsidRDefault="004E53C1" w:rsidP="004E53C1">
      <w:pPr>
        <w:tabs>
          <w:tab w:val="left" w:pos="426"/>
        </w:tabs>
        <w:spacing w:after="120"/>
        <w:rPr>
          <w:rFonts w:ascii="Arial" w:hAnsi="Arial" w:cs="Arial"/>
          <w:szCs w:val="22"/>
        </w:rPr>
      </w:pPr>
      <w:r w:rsidRPr="00600A5C">
        <w:rPr>
          <w:rFonts w:ascii="Arial" w:hAnsi="Arial" w:cs="Arial"/>
          <w:szCs w:val="22"/>
        </w:rPr>
        <w:t xml:space="preserve">There are </w:t>
      </w:r>
      <w:r>
        <w:rPr>
          <w:rFonts w:ascii="Arial" w:hAnsi="Arial" w:cs="Arial"/>
          <w:szCs w:val="22"/>
        </w:rPr>
        <w:t>several</w:t>
      </w:r>
      <w:r w:rsidRPr="00600A5C">
        <w:rPr>
          <w:rFonts w:ascii="Arial" w:hAnsi="Arial" w:cs="Arial"/>
          <w:szCs w:val="22"/>
        </w:rPr>
        <w:t xml:space="preserve"> risks in </w:t>
      </w:r>
      <w:r>
        <w:rPr>
          <w:rFonts w:ascii="Arial" w:hAnsi="Arial" w:cs="Arial"/>
          <w:szCs w:val="22"/>
        </w:rPr>
        <w:t>the AAD</w:t>
      </w:r>
      <w:r w:rsidRPr="00600A5C">
        <w:rPr>
          <w:rFonts w:ascii="Arial" w:hAnsi="Arial" w:cs="Arial"/>
          <w:szCs w:val="22"/>
        </w:rPr>
        <w:t xml:space="preserve"> </w:t>
      </w:r>
      <w:r>
        <w:rPr>
          <w:rFonts w:ascii="Arial" w:hAnsi="Arial" w:cs="Arial"/>
          <w:szCs w:val="22"/>
        </w:rPr>
        <w:t xml:space="preserve">that could result from </w:t>
      </w:r>
      <w:r w:rsidRPr="00600A5C">
        <w:rPr>
          <w:rFonts w:ascii="Arial" w:hAnsi="Arial" w:cs="Arial"/>
          <w:szCs w:val="22"/>
        </w:rPr>
        <w:t xml:space="preserve">producing and issuing </w:t>
      </w:r>
      <w:r>
        <w:rPr>
          <w:rFonts w:ascii="Arial" w:hAnsi="Arial" w:cs="Arial"/>
          <w:szCs w:val="22"/>
        </w:rPr>
        <w:t xml:space="preserve">inaccurate admissions </w:t>
      </w:r>
      <w:r w:rsidRPr="00600A5C">
        <w:rPr>
          <w:rFonts w:ascii="Arial" w:hAnsi="Arial" w:cs="Arial"/>
          <w:szCs w:val="22"/>
        </w:rPr>
        <w:t>data:</w:t>
      </w:r>
    </w:p>
    <w:p w14:paraId="4DEE9675"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Financial and Statutory</w:t>
      </w:r>
    </w:p>
    <w:p w14:paraId="550EE9EF" w14:textId="77777777" w:rsidR="004E53C1" w:rsidRDefault="004E53C1" w:rsidP="004E53C1">
      <w:pPr>
        <w:tabs>
          <w:tab w:val="left" w:pos="709"/>
        </w:tabs>
        <w:spacing w:after="0"/>
        <w:ind w:firstLine="705"/>
        <w:rPr>
          <w:rFonts w:ascii="Arial" w:hAnsi="Arial" w:cs="Arial"/>
          <w:szCs w:val="22"/>
        </w:rPr>
      </w:pPr>
    </w:p>
    <w:p w14:paraId="38315116"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Reporting and analysis may be inaccurate where data is not retained or in an unsuitable format</w:t>
      </w:r>
    </w:p>
    <w:p w14:paraId="57009BF9"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management of offer and intake targets could impact on colleges/departments financially if too many/few students are recruited, as well as adversely impacting the student experience</w:t>
      </w:r>
    </w:p>
    <w:p w14:paraId="4D6C7746" w14:textId="77777777" w:rsidR="004E53C1" w:rsidRPr="00C54077" w:rsidRDefault="004E53C1" w:rsidP="004E53C1">
      <w:pPr>
        <w:pStyle w:val="ListParagraph"/>
        <w:numPr>
          <w:ilvl w:val="2"/>
          <w:numId w:val="32"/>
        </w:numPr>
        <w:rPr>
          <w:rFonts w:ascii="Arial" w:hAnsi="Arial" w:cs="Arial"/>
          <w:szCs w:val="22"/>
        </w:rPr>
      </w:pPr>
      <w:r w:rsidRPr="00C54077">
        <w:rPr>
          <w:rFonts w:ascii="Arial" w:hAnsi="Arial" w:cs="Arial"/>
          <w:szCs w:val="22"/>
        </w:rPr>
        <w:t>New and changing statutory requirements (e.g. Access and Participation plans and transparency data) require accurate data, or they could misrepresent the University to statutory bodies</w:t>
      </w:r>
    </w:p>
    <w:p w14:paraId="55288DC6" w14:textId="77777777" w:rsidR="004E53C1" w:rsidRDefault="004E53C1" w:rsidP="004E53C1">
      <w:pPr>
        <w:pStyle w:val="ListParagraph"/>
        <w:tabs>
          <w:tab w:val="left" w:pos="709"/>
        </w:tabs>
        <w:spacing w:after="0"/>
        <w:ind w:left="709"/>
        <w:rPr>
          <w:rFonts w:ascii="Arial" w:hAnsi="Arial" w:cs="Arial"/>
          <w:szCs w:val="22"/>
        </w:rPr>
      </w:pPr>
    </w:p>
    <w:p w14:paraId="0FD3BA80"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Accessibility</w:t>
      </w:r>
    </w:p>
    <w:p w14:paraId="48A6849C" w14:textId="3646DE95" w:rsidR="004E53C1"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Applicants could be rejected in error or not offered funding</w:t>
      </w:r>
    </w:p>
    <w:p w14:paraId="57D5BA44" w14:textId="218720F6" w:rsidR="00B266B0" w:rsidRPr="00C54077" w:rsidRDefault="00B266B0" w:rsidP="004E53C1">
      <w:pPr>
        <w:pStyle w:val="ListParagraph"/>
        <w:numPr>
          <w:ilvl w:val="2"/>
          <w:numId w:val="32"/>
        </w:numPr>
        <w:tabs>
          <w:tab w:val="left" w:pos="709"/>
        </w:tabs>
        <w:spacing w:after="0"/>
        <w:rPr>
          <w:rFonts w:ascii="Arial" w:hAnsi="Arial" w:cs="Arial"/>
          <w:szCs w:val="22"/>
        </w:rPr>
      </w:pPr>
      <w:r>
        <w:rPr>
          <w:rFonts w:ascii="Arial" w:hAnsi="Arial" w:cs="Arial"/>
          <w:szCs w:val="22"/>
        </w:rPr>
        <w:t>Inaccurate contextual data could lead to an applicant’s performance not being correctly contextualised, and therefore that disadvantaged applicants may not be successful in gaining a place</w:t>
      </w:r>
    </w:p>
    <w:p w14:paraId="373A32C8" w14:textId="77777777" w:rsidR="004E53C1" w:rsidRDefault="004E53C1" w:rsidP="004E53C1">
      <w:pPr>
        <w:pStyle w:val="ListParagraph"/>
        <w:tabs>
          <w:tab w:val="left" w:pos="709"/>
        </w:tabs>
        <w:spacing w:after="0"/>
        <w:ind w:left="709"/>
        <w:rPr>
          <w:rFonts w:ascii="Arial" w:hAnsi="Arial" w:cs="Arial"/>
          <w:szCs w:val="22"/>
        </w:rPr>
      </w:pPr>
    </w:p>
    <w:p w14:paraId="4EBB01E4"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Equity</w:t>
      </w:r>
    </w:p>
    <w:p w14:paraId="77445C7E"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Underqualified students may be accepted onto courses, particularly where they have been accepted on the basis of grades in an overseas qualification, which may be misinterpreted</w:t>
      </w:r>
    </w:p>
    <w:p w14:paraId="149D57B8"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course information might encourage/discourage applicants from applying or taking up places</w:t>
      </w:r>
    </w:p>
    <w:p w14:paraId="733AF0C0"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course pages might lead to applications not being considered ready for assessment by the time the course closes</w:t>
      </w:r>
    </w:p>
    <w:p w14:paraId="3732FDD2" w14:textId="77777777" w:rsidR="004E53C1" w:rsidRDefault="004E53C1" w:rsidP="004E53C1">
      <w:pPr>
        <w:pStyle w:val="ListParagraph"/>
        <w:tabs>
          <w:tab w:val="left" w:pos="709"/>
        </w:tabs>
        <w:spacing w:after="0"/>
        <w:ind w:left="709"/>
        <w:rPr>
          <w:rFonts w:ascii="Arial" w:hAnsi="Arial" w:cs="Arial"/>
          <w:szCs w:val="22"/>
        </w:rPr>
      </w:pPr>
    </w:p>
    <w:p w14:paraId="3A4035BC"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Reputational</w:t>
      </w:r>
    </w:p>
    <w:p w14:paraId="4C5A3BF9"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data (e.g. qualifications on entry) could result in inappropriate placing in league tables</w:t>
      </w:r>
    </w:p>
    <w:p w14:paraId="3CBB8EA8" w14:textId="77777777" w:rsidR="004E53C1" w:rsidRPr="00C54077" w:rsidRDefault="004E53C1" w:rsidP="004E53C1">
      <w:pPr>
        <w:pStyle w:val="ListParagraph"/>
        <w:numPr>
          <w:ilvl w:val="3"/>
          <w:numId w:val="32"/>
        </w:numPr>
        <w:rPr>
          <w:rFonts w:ascii="Arial" w:hAnsi="Arial" w:cs="Arial"/>
          <w:szCs w:val="22"/>
        </w:rPr>
      </w:pPr>
      <w:r w:rsidRPr="00C54077">
        <w:rPr>
          <w:rFonts w:ascii="Arial" w:hAnsi="Arial" w:cs="Arial"/>
          <w:szCs w:val="22"/>
        </w:rPr>
        <w:t>Inaccurate data in the Annual Admissions Statistical Report (undergraduate) could have reputational implications</w:t>
      </w:r>
    </w:p>
    <w:p w14:paraId="025C9CA6"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Lack of understanding of common business definitions e.g. “school type” could lead to lack of understanding of presented data, and therefore inaccurate conclusions being drawn</w:t>
      </w:r>
    </w:p>
    <w:p w14:paraId="35F24913" w14:textId="77777777" w:rsidR="004E53C1" w:rsidRPr="00B31DD6" w:rsidRDefault="004E53C1" w:rsidP="004E53C1">
      <w:pPr>
        <w:pStyle w:val="ListParagraph"/>
        <w:rPr>
          <w:rFonts w:ascii="Arial" w:hAnsi="Arial" w:cs="Arial"/>
          <w:szCs w:val="22"/>
        </w:rPr>
      </w:pPr>
    </w:p>
    <w:p w14:paraId="2AEA1D4C" w14:textId="77777777" w:rsidR="004E53C1" w:rsidRPr="00B31DD6" w:rsidRDefault="004E53C1" w:rsidP="004E53C1">
      <w:pPr>
        <w:pStyle w:val="ListParagraph"/>
        <w:rPr>
          <w:rFonts w:ascii="Arial" w:hAnsi="Arial" w:cs="Arial"/>
          <w:szCs w:val="22"/>
        </w:rPr>
      </w:pPr>
    </w:p>
    <w:p w14:paraId="7272AA59" w14:textId="77777777" w:rsidR="004E53C1" w:rsidRPr="00C54077" w:rsidRDefault="004E53C1" w:rsidP="004E53C1">
      <w:pPr>
        <w:pStyle w:val="ListParagraph"/>
        <w:numPr>
          <w:ilvl w:val="0"/>
          <w:numId w:val="32"/>
        </w:numPr>
        <w:rPr>
          <w:rFonts w:ascii="Arial" w:hAnsi="Arial" w:cs="Arial"/>
          <w:szCs w:val="22"/>
        </w:rPr>
      </w:pPr>
      <w:r w:rsidRPr="00C54077">
        <w:rPr>
          <w:rFonts w:ascii="Arial" w:hAnsi="Arial" w:cs="Arial"/>
          <w:szCs w:val="22"/>
        </w:rPr>
        <w:br w:type="page"/>
      </w:r>
    </w:p>
    <w:p w14:paraId="33FE0BF3" w14:textId="77777777" w:rsidR="004E53C1" w:rsidRPr="00E56C6B" w:rsidRDefault="004E53C1" w:rsidP="004E53C1">
      <w:pPr>
        <w:pStyle w:val="Heading1"/>
      </w:pPr>
      <w:bookmarkStart w:id="18" w:name="_Toc533157061"/>
      <w:bookmarkStart w:id="19" w:name="_Toc42458135"/>
      <w:r>
        <w:lastRenderedPageBreak/>
        <w:t>A.3</w:t>
      </w:r>
      <w:r>
        <w:tab/>
      </w:r>
      <w:r w:rsidRPr="00D3657D">
        <w:t>Policy</w:t>
      </w:r>
      <w:r>
        <w:t xml:space="preserve"> – Graduate Admissions</w:t>
      </w:r>
      <w:bookmarkEnd w:id="18"/>
      <w:bookmarkEnd w:id="19"/>
    </w:p>
    <w:p w14:paraId="341D273E" w14:textId="77777777" w:rsidR="004E53C1" w:rsidRPr="00C54077" w:rsidRDefault="004E53C1" w:rsidP="004E53C1">
      <w:pPr>
        <w:tabs>
          <w:tab w:val="left" w:pos="426"/>
        </w:tabs>
        <w:spacing w:after="160"/>
        <w:rPr>
          <w:rFonts w:ascii="Arial" w:hAnsi="Arial" w:cs="Arial"/>
          <w:szCs w:val="22"/>
        </w:rPr>
      </w:pPr>
      <w:r w:rsidRPr="00C54077">
        <w:rPr>
          <w:rFonts w:ascii="Arial" w:hAnsi="Arial" w:cs="Arial"/>
          <w:szCs w:val="22"/>
        </w:rPr>
        <w:t>The following points constitute the policy for Graduate Admissions:</w:t>
      </w:r>
    </w:p>
    <w:p w14:paraId="5D7757AE" w14:textId="77777777" w:rsidR="004E53C1" w:rsidRPr="00F07033" w:rsidRDefault="004E53C1" w:rsidP="004E53C1">
      <w:pPr>
        <w:pStyle w:val="Heading2"/>
        <w:numPr>
          <w:ilvl w:val="1"/>
          <w:numId w:val="32"/>
        </w:numPr>
      </w:pPr>
      <w:bookmarkStart w:id="20" w:name="_Toc39663626"/>
      <w:bookmarkStart w:id="21" w:name="_Toc42458136"/>
      <w:r>
        <w:t>Responsibilities</w:t>
      </w:r>
      <w:bookmarkEnd w:id="20"/>
      <w:bookmarkEnd w:id="21"/>
    </w:p>
    <w:p w14:paraId="466B861A" w14:textId="77777777" w:rsidR="004E53C1" w:rsidRPr="00C54077" w:rsidRDefault="004E53C1" w:rsidP="004E53C1">
      <w:pPr>
        <w:pStyle w:val="ListParagraph"/>
        <w:numPr>
          <w:ilvl w:val="2"/>
          <w:numId w:val="32"/>
        </w:numPr>
        <w:spacing w:before="120" w:after="240" w:line="240" w:lineRule="auto"/>
        <w:rPr>
          <w:rFonts w:ascii="Arial" w:hAnsi="Arial" w:cs="Arial"/>
          <w:szCs w:val="22"/>
        </w:rPr>
      </w:pPr>
      <w:r w:rsidRPr="00C54077">
        <w:rPr>
          <w:rFonts w:ascii="Arial" w:hAnsi="Arial" w:cs="Arial"/>
          <w:szCs w:val="22"/>
        </w:rPr>
        <w:t>The Academic Registrar delegates to a senior individual (the Director of Graduate Admissions) the responsibility for ensuring graduate admissions data quality and compliance with the University policy on data quality and data assurance.</w:t>
      </w:r>
    </w:p>
    <w:p w14:paraId="26046FC2" w14:textId="77777777" w:rsidR="004E53C1" w:rsidRDefault="004E53C1" w:rsidP="004E53C1">
      <w:pPr>
        <w:pStyle w:val="Heading2"/>
        <w:numPr>
          <w:ilvl w:val="1"/>
          <w:numId w:val="32"/>
        </w:numPr>
        <w:spacing w:after="120"/>
      </w:pPr>
      <w:bookmarkStart w:id="22" w:name="_Toc533157063"/>
      <w:bookmarkStart w:id="23" w:name="_Toc39663627"/>
      <w:bookmarkStart w:id="24" w:name="_Toc42458137"/>
      <w:r>
        <w:t>Annual Changes Process</w:t>
      </w:r>
      <w:bookmarkEnd w:id="22"/>
      <w:bookmarkEnd w:id="23"/>
      <w:bookmarkEnd w:id="24"/>
    </w:p>
    <w:p w14:paraId="134036ED" w14:textId="77777777" w:rsidR="004E53C1" w:rsidRDefault="004E53C1" w:rsidP="004E53C1">
      <w:pPr>
        <w:pStyle w:val="ListParagraph"/>
        <w:numPr>
          <w:ilvl w:val="2"/>
          <w:numId w:val="32"/>
        </w:numPr>
        <w:spacing w:after="240" w:line="240" w:lineRule="auto"/>
        <w:rPr>
          <w:rFonts w:ascii="Arial" w:hAnsi="Arial" w:cs="Arial"/>
          <w:szCs w:val="22"/>
        </w:rPr>
      </w:pPr>
      <w:r>
        <w:rPr>
          <w:rFonts w:ascii="Arial" w:hAnsi="Arial" w:cs="Arial"/>
          <w:szCs w:val="22"/>
        </w:rPr>
        <w:t xml:space="preserve">As part of its ‘Annual Changes’ process, the Graduate Admissions Office will review annually to ensure that they </w:t>
      </w:r>
      <w:r w:rsidRPr="00B936DC">
        <w:rPr>
          <w:rFonts w:ascii="Arial" w:hAnsi="Arial" w:cs="Arial"/>
          <w:szCs w:val="22"/>
        </w:rPr>
        <w:t>have appropriate policies, systems and procedures to s</w:t>
      </w:r>
      <w:r>
        <w:rPr>
          <w:rFonts w:ascii="Arial" w:hAnsi="Arial" w:cs="Arial"/>
          <w:szCs w:val="22"/>
        </w:rPr>
        <w:t>ecure the quality of the data they record and use</w:t>
      </w:r>
      <w:r w:rsidRPr="00B936DC">
        <w:rPr>
          <w:rFonts w:ascii="Arial" w:hAnsi="Arial" w:cs="Arial"/>
          <w:szCs w:val="22"/>
        </w:rPr>
        <w:t xml:space="preserve"> for </w:t>
      </w:r>
      <w:r>
        <w:rPr>
          <w:rFonts w:ascii="Arial" w:hAnsi="Arial" w:cs="Arial"/>
          <w:szCs w:val="22"/>
        </w:rPr>
        <w:t>their</w:t>
      </w:r>
      <w:r w:rsidRPr="00B936DC">
        <w:rPr>
          <w:rFonts w:ascii="Arial" w:hAnsi="Arial" w:cs="Arial"/>
          <w:szCs w:val="22"/>
        </w:rPr>
        <w:t xml:space="preserve"> </w:t>
      </w:r>
      <w:r>
        <w:rPr>
          <w:rFonts w:ascii="Arial" w:hAnsi="Arial" w:cs="Arial"/>
          <w:szCs w:val="22"/>
        </w:rPr>
        <w:t xml:space="preserve">admissions process, as well as ongoing </w:t>
      </w:r>
      <w:r w:rsidRPr="00B936DC">
        <w:rPr>
          <w:rFonts w:ascii="Arial" w:hAnsi="Arial" w:cs="Arial"/>
          <w:szCs w:val="22"/>
        </w:rPr>
        <w:t>reporting</w:t>
      </w:r>
      <w:r>
        <w:rPr>
          <w:rFonts w:ascii="Arial" w:hAnsi="Arial" w:cs="Arial"/>
          <w:szCs w:val="22"/>
        </w:rPr>
        <w:t>.</w:t>
      </w:r>
    </w:p>
    <w:p w14:paraId="2187E696" w14:textId="77777777" w:rsidR="004E53C1" w:rsidRDefault="004E53C1" w:rsidP="004E53C1">
      <w:pPr>
        <w:pStyle w:val="ListParagraph"/>
        <w:spacing w:after="0" w:line="240" w:lineRule="auto"/>
        <w:rPr>
          <w:rFonts w:ascii="Arial" w:hAnsi="Arial" w:cs="Arial"/>
          <w:szCs w:val="22"/>
        </w:rPr>
      </w:pPr>
    </w:p>
    <w:p w14:paraId="75A5BCB7"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The ‘Annual Changes’ project captures changes for the following admissions cycle, including which courses are running, the application deadlines they use and the course information on the graduate admissions website. Changes are submitted directly on eVision. Key stakeholders, e.g. the Disability Advisory Service and Visa and Immigration Team, are consulted to elicit any changes to guidance.</w:t>
      </w:r>
    </w:p>
    <w:p w14:paraId="7245A978" w14:textId="77777777" w:rsidR="004E53C1" w:rsidRDefault="004E53C1" w:rsidP="004E53C1">
      <w:pPr>
        <w:pStyle w:val="ListParagraph"/>
        <w:spacing w:after="0" w:line="240" w:lineRule="auto"/>
        <w:rPr>
          <w:rFonts w:ascii="Arial" w:hAnsi="Arial" w:cs="Arial"/>
          <w:szCs w:val="22"/>
        </w:rPr>
      </w:pPr>
    </w:p>
    <w:p w14:paraId="75835D7F"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Each year data collected at admissions which is directly linked to data collected in statutory returns is reviewed, e.g. ethnicity and disability information, to ensure that up to date coding and mapping structures are in place.</w:t>
      </w:r>
    </w:p>
    <w:p w14:paraId="4BA6C98C" w14:textId="77777777" w:rsidR="004E53C1" w:rsidRPr="002B74A5" w:rsidRDefault="004E53C1" w:rsidP="004E53C1">
      <w:pPr>
        <w:spacing w:after="0" w:line="240" w:lineRule="auto"/>
        <w:ind w:firstLine="60"/>
        <w:rPr>
          <w:rFonts w:ascii="Arial" w:hAnsi="Arial" w:cs="Arial"/>
          <w:szCs w:val="22"/>
        </w:rPr>
      </w:pPr>
    </w:p>
    <w:p w14:paraId="588ED5CD"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Data submitted by departments and colleges are checked by the Graduate Admissions Office prior to the start of the admissions cycle to identify anomalies. The Graduate Admissions Office also tests the updated graduate application form prior to go-live to ensure that data is captured and imported accurately.</w:t>
      </w:r>
    </w:p>
    <w:p w14:paraId="7AAD006C" w14:textId="77777777" w:rsidR="004E53C1" w:rsidRDefault="004E53C1" w:rsidP="004E53C1">
      <w:pPr>
        <w:pStyle w:val="ListParagraph"/>
        <w:spacing w:after="0" w:line="240" w:lineRule="auto"/>
        <w:rPr>
          <w:rFonts w:ascii="Arial" w:hAnsi="Arial" w:cs="Arial"/>
          <w:szCs w:val="22"/>
        </w:rPr>
      </w:pPr>
    </w:p>
    <w:p w14:paraId="59F61F1A"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The Graduate Admissions Office tests the separate Said Business School application form and checks that applications are imported correctly to SITS Vision. The Graduate Admissions Office maintains comprehensive process documentation for those applications that are data entered rather than submitted online.</w:t>
      </w:r>
    </w:p>
    <w:p w14:paraId="521409A0" w14:textId="77777777" w:rsidR="004E53C1" w:rsidRPr="00470BB0" w:rsidRDefault="004E53C1" w:rsidP="004E53C1">
      <w:pPr>
        <w:spacing w:after="0" w:line="240" w:lineRule="auto"/>
        <w:rPr>
          <w:rFonts w:ascii="Arial" w:hAnsi="Arial" w:cs="Arial"/>
          <w:szCs w:val="22"/>
        </w:rPr>
      </w:pPr>
    </w:p>
    <w:p w14:paraId="65C22F84" w14:textId="77777777" w:rsidR="004E53C1" w:rsidRPr="00722E0F" w:rsidRDefault="004E53C1" w:rsidP="004E53C1">
      <w:pPr>
        <w:pStyle w:val="Heading2"/>
        <w:numPr>
          <w:ilvl w:val="1"/>
          <w:numId w:val="32"/>
        </w:numPr>
      </w:pPr>
      <w:bookmarkStart w:id="25" w:name="_Toc533157064"/>
      <w:bookmarkStart w:id="26" w:name="_Toc39663628"/>
      <w:bookmarkStart w:id="27" w:name="_Toc42458138"/>
      <w:r>
        <w:t>In Cycle Checks</w:t>
      </w:r>
      <w:bookmarkEnd w:id="25"/>
      <w:bookmarkEnd w:id="26"/>
      <w:bookmarkEnd w:id="27"/>
    </w:p>
    <w:p w14:paraId="65A5C679" w14:textId="77777777" w:rsidR="004E53C1" w:rsidRDefault="004E53C1" w:rsidP="004E53C1">
      <w:pPr>
        <w:pStyle w:val="ListParagraph"/>
        <w:spacing w:after="0" w:line="240" w:lineRule="auto"/>
        <w:rPr>
          <w:rFonts w:ascii="Arial" w:hAnsi="Arial" w:cs="Arial"/>
          <w:szCs w:val="22"/>
        </w:rPr>
      </w:pPr>
    </w:p>
    <w:p w14:paraId="23BC02E6"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Where course information is amended during the application cycle, submitted and in-progress applicants are contacted to ensure they check the updated information.</w:t>
      </w:r>
    </w:p>
    <w:p w14:paraId="7EC7FD74" w14:textId="77777777" w:rsidR="004E53C1" w:rsidRDefault="004E53C1" w:rsidP="004E53C1">
      <w:pPr>
        <w:pStyle w:val="ListParagraph"/>
        <w:spacing w:after="0" w:line="240" w:lineRule="auto"/>
        <w:rPr>
          <w:rFonts w:ascii="Arial" w:hAnsi="Arial" w:cs="Arial"/>
          <w:szCs w:val="22"/>
        </w:rPr>
      </w:pPr>
    </w:p>
    <w:p w14:paraId="59534B6B" w14:textId="77777777" w:rsidR="004E53C1" w:rsidRPr="00C54077" w:rsidRDefault="004E53C1" w:rsidP="004E53C1">
      <w:pPr>
        <w:pStyle w:val="ListParagraph"/>
        <w:numPr>
          <w:ilvl w:val="2"/>
          <w:numId w:val="32"/>
        </w:numPr>
        <w:spacing w:after="0" w:line="240" w:lineRule="auto"/>
        <w:rPr>
          <w:rFonts w:ascii="Arial" w:hAnsi="Arial" w:cs="Arial"/>
          <w:szCs w:val="22"/>
        </w:rPr>
      </w:pPr>
      <w:r w:rsidRPr="00C54077">
        <w:rPr>
          <w:rFonts w:ascii="Arial" w:hAnsi="Arial" w:cs="Arial"/>
          <w:szCs w:val="22"/>
        </w:rPr>
        <w:t>Data quality monitoring reports, e.g. missing qualifications on entry data, are regularly run to ensure the completeness of key data that is reported outside the University.</w:t>
      </w:r>
    </w:p>
    <w:p w14:paraId="6B812082" w14:textId="77777777" w:rsidR="004E53C1" w:rsidRPr="002E582C" w:rsidRDefault="004E53C1" w:rsidP="004E53C1">
      <w:pPr>
        <w:pStyle w:val="ListParagraph"/>
        <w:rPr>
          <w:rFonts w:ascii="Arial" w:hAnsi="Arial" w:cs="Arial"/>
          <w:szCs w:val="22"/>
        </w:rPr>
      </w:pPr>
    </w:p>
    <w:p w14:paraId="53C916DB" w14:textId="77777777" w:rsidR="004E53C1" w:rsidRPr="00B936DC" w:rsidRDefault="004E53C1" w:rsidP="004E53C1">
      <w:pPr>
        <w:pStyle w:val="ListParagraph"/>
        <w:spacing w:after="0" w:line="240" w:lineRule="auto"/>
        <w:rPr>
          <w:rFonts w:ascii="Arial" w:hAnsi="Arial" w:cs="Arial"/>
          <w:szCs w:val="22"/>
        </w:rPr>
      </w:pPr>
    </w:p>
    <w:p w14:paraId="647EC4AB" w14:textId="77777777" w:rsidR="004E53C1" w:rsidRDefault="004E53C1" w:rsidP="004E53C1">
      <w:pPr>
        <w:pStyle w:val="Heading2"/>
        <w:numPr>
          <w:ilvl w:val="1"/>
          <w:numId w:val="32"/>
        </w:numPr>
        <w:spacing w:after="120"/>
      </w:pPr>
      <w:bookmarkStart w:id="28" w:name="_Toc533157065"/>
      <w:bookmarkStart w:id="29" w:name="_Toc39663629"/>
      <w:bookmarkStart w:id="30" w:name="_Toc42458139"/>
      <w:r>
        <w:t>Retention</w:t>
      </w:r>
      <w:bookmarkEnd w:id="28"/>
      <w:bookmarkEnd w:id="29"/>
      <w:bookmarkEnd w:id="30"/>
    </w:p>
    <w:p w14:paraId="6E4BD0A6" w14:textId="77777777" w:rsidR="004E53C1" w:rsidRPr="00C54077" w:rsidRDefault="004E53C1" w:rsidP="004E53C1">
      <w:pPr>
        <w:pStyle w:val="ListParagraph"/>
        <w:numPr>
          <w:ilvl w:val="2"/>
          <w:numId w:val="32"/>
        </w:numPr>
        <w:spacing w:after="240" w:line="240" w:lineRule="auto"/>
        <w:rPr>
          <w:rFonts w:ascii="Arial" w:hAnsi="Arial" w:cs="Arial"/>
          <w:szCs w:val="22"/>
        </w:rPr>
      </w:pPr>
      <w:r w:rsidRPr="00C54077">
        <w:rPr>
          <w:rFonts w:ascii="Arial" w:hAnsi="Arial" w:cs="Arial"/>
          <w:szCs w:val="22"/>
        </w:rPr>
        <w:t>The Graduate Admissions Office will adhere to Student Record Retention Policy, in addition to participating in its annual update.</w:t>
      </w:r>
    </w:p>
    <w:p w14:paraId="6D906C29" w14:textId="77777777" w:rsidR="004E53C1" w:rsidRDefault="004E53C1" w:rsidP="004E53C1">
      <w:pPr>
        <w:pStyle w:val="ListParagraph"/>
        <w:spacing w:after="0" w:line="240" w:lineRule="auto"/>
        <w:rPr>
          <w:rFonts w:ascii="Arial" w:hAnsi="Arial" w:cs="Arial"/>
          <w:szCs w:val="22"/>
        </w:rPr>
      </w:pPr>
    </w:p>
    <w:p w14:paraId="58924479" w14:textId="77777777" w:rsidR="004E53C1" w:rsidRDefault="004E53C1" w:rsidP="004E53C1">
      <w:pPr>
        <w:pStyle w:val="ListParagraph"/>
        <w:spacing w:after="0" w:line="240" w:lineRule="auto"/>
        <w:rPr>
          <w:rFonts w:ascii="Arial" w:hAnsi="Arial" w:cs="Arial"/>
          <w:szCs w:val="22"/>
        </w:rPr>
      </w:pPr>
    </w:p>
    <w:p w14:paraId="7E59BF3A" w14:textId="77777777" w:rsidR="004E53C1" w:rsidRPr="00C54077" w:rsidRDefault="004E53C1" w:rsidP="004E53C1">
      <w:pPr>
        <w:pStyle w:val="ListParagraph"/>
        <w:numPr>
          <w:ilvl w:val="0"/>
          <w:numId w:val="32"/>
        </w:numPr>
        <w:rPr>
          <w:rFonts w:ascii="Arial" w:hAnsi="Arial" w:cs="Arial"/>
          <w:szCs w:val="22"/>
        </w:rPr>
      </w:pPr>
      <w:r w:rsidRPr="00C54077">
        <w:rPr>
          <w:rFonts w:ascii="Arial" w:hAnsi="Arial" w:cs="Arial"/>
          <w:szCs w:val="22"/>
        </w:rPr>
        <w:br w:type="page"/>
      </w:r>
    </w:p>
    <w:p w14:paraId="540A1C24" w14:textId="77777777" w:rsidR="004E53C1" w:rsidRPr="00E56C6B" w:rsidRDefault="004E53C1" w:rsidP="004E53C1">
      <w:pPr>
        <w:pStyle w:val="Heading1"/>
      </w:pPr>
      <w:bookmarkStart w:id="31" w:name="_Toc533157066"/>
      <w:bookmarkStart w:id="32" w:name="_Toc42458140"/>
      <w:r>
        <w:lastRenderedPageBreak/>
        <w:t>A.4</w:t>
      </w:r>
      <w:r>
        <w:tab/>
      </w:r>
      <w:r w:rsidRPr="00D3657D">
        <w:t>Policy</w:t>
      </w:r>
      <w:r>
        <w:t xml:space="preserve"> – Undergraduate Admissions</w:t>
      </w:r>
      <w:bookmarkEnd w:id="31"/>
      <w:bookmarkEnd w:id="32"/>
    </w:p>
    <w:p w14:paraId="22E66586" w14:textId="0B4F2F14" w:rsidR="004E53C1" w:rsidRDefault="004E53C1" w:rsidP="004E53C1">
      <w:pPr>
        <w:tabs>
          <w:tab w:val="left" w:pos="426"/>
        </w:tabs>
        <w:spacing w:after="160"/>
        <w:rPr>
          <w:rFonts w:ascii="Arial" w:hAnsi="Arial" w:cs="Arial"/>
          <w:szCs w:val="22"/>
        </w:rPr>
      </w:pPr>
      <w:r w:rsidRPr="00C54077">
        <w:rPr>
          <w:rFonts w:ascii="Arial" w:hAnsi="Arial" w:cs="Arial"/>
          <w:szCs w:val="22"/>
        </w:rPr>
        <w:t>The following points constitute the policy for Undergraduate Admissions:</w:t>
      </w:r>
    </w:p>
    <w:p w14:paraId="7D38B220" w14:textId="77777777" w:rsidR="003F248F" w:rsidRPr="00C673E8" w:rsidRDefault="003F248F" w:rsidP="003F248F">
      <w:pPr>
        <w:pStyle w:val="Heading2"/>
        <w:numPr>
          <w:ilvl w:val="1"/>
          <w:numId w:val="32"/>
        </w:numPr>
      </w:pPr>
      <w:bookmarkStart w:id="33" w:name="_Toc39663631"/>
      <w:bookmarkStart w:id="34" w:name="_Toc42458141"/>
      <w:r w:rsidRPr="00C673E8">
        <w:t>Responsibilities</w:t>
      </w:r>
      <w:bookmarkEnd w:id="33"/>
      <w:bookmarkEnd w:id="34"/>
    </w:p>
    <w:p w14:paraId="031667E5" w14:textId="77777777" w:rsidR="003F248F" w:rsidRPr="00C54077" w:rsidRDefault="003F248F" w:rsidP="003F248F">
      <w:pPr>
        <w:pStyle w:val="ListParagraph"/>
        <w:numPr>
          <w:ilvl w:val="2"/>
          <w:numId w:val="32"/>
        </w:numPr>
        <w:rPr>
          <w:rFonts w:ascii="Arial" w:hAnsi="Arial" w:cs="Arial"/>
          <w:szCs w:val="22"/>
        </w:rPr>
      </w:pPr>
      <w:r w:rsidRPr="00C54077">
        <w:rPr>
          <w:rFonts w:ascii="Arial" w:hAnsi="Arial" w:cs="Arial"/>
          <w:szCs w:val="22"/>
        </w:rPr>
        <w:t>The Academic Registrar delegates to a senior individual (the Director of Undergraduate Admissions and Outreach) the responsibility for ensuring undergraduate admissions data quality and compliance with the University policy on data quality and data assurance</w:t>
      </w:r>
      <w:r>
        <w:rPr>
          <w:rFonts w:ascii="Arial" w:hAnsi="Arial" w:cs="Arial"/>
          <w:szCs w:val="22"/>
        </w:rPr>
        <w:t>.</w:t>
      </w:r>
    </w:p>
    <w:p w14:paraId="0D9C6FD2" w14:textId="77777777" w:rsidR="003F248F" w:rsidRPr="00C673E8" w:rsidRDefault="003F248F" w:rsidP="003F248F">
      <w:pPr>
        <w:pStyle w:val="Heading2"/>
        <w:numPr>
          <w:ilvl w:val="1"/>
          <w:numId w:val="32"/>
        </w:numPr>
        <w:spacing w:after="120"/>
      </w:pPr>
      <w:bookmarkStart w:id="35" w:name="_Toc39663632"/>
      <w:bookmarkStart w:id="36" w:name="_Toc42458142"/>
      <w:r w:rsidRPr="00C673E8">
        <w:t>Annual pre-cycle preparation</w:t>
      </w:r>
      <w:bookmarkEnd w:id="35"/>
      <w:bookmarkEnd w:id="36"/>
    </w:p>
    <w:p w14:paraId="457A8489" w14:textId="27368D47" w:rsidR="003F248F" w:rsidRPr="00C54077" w:rsidRDefault="003F248F" w:rsidP="01563962">
      <w:pPr>
        <w:pStyle w:val="ListParagraph"/>
        <w:numPr>
          <w:ilvl w:val="2"/>
          <w:numId w:val="32"/>
        </w:numPr>
        <w:spacing w:after="240"/>
        <w:rPr>
          <w:rFonts w:ascii="Arial" w:hAnsi="Arial" w:cs="Arial"/>
        </w:rPr>
      </w:pPr>
      <w:r w:rsidRPr="01563962">
        <w:rPr>
          <w:rFonts w:ascii="Arial" w:hAnsi="Arial" w:cs="Arial"/>
        </w:rPr>
        <w:t>As part of the annual UCAS courses roll-over in May the Undergraduate Admissions and Outreach (UAO) team reviews the set-up of course/college combinations on UCAS. This is to ensure undergraduate applicants select a correct combination when applying to us. This process also ensures that course information on UCAS Search</w:t>
      </w:r>
      <w:r w:rsidR="009EAA47" w:rsidRPr="01563962">
        <w:rPr>
          <w:rFonts w:ascii="Arial" w:hAnsi="Arial" w:cs="Arial"/>
        </w:rPr>
        <w:t xml:space="preserve"> and UCAS Apply</w:t>
      </w:r>
      <w:r w:rsidRPr="01563962">
        <w:rPr>
          <w:rFonts w:ascii="Arial" w:hAnsi="Arial" w:cs="Arial"/>
        </w:rPr>
        <w:t xml:space="preserve"> accurately reflects the information on the undergraduate admissions web pages with regards to tests, entry requirements and any additional details.   </w:t>
      </w:r>
    </w:p>
    <w:p w14:paraId="083B63EC" w14:textId="77777777" w:rsidR="003F248F" w:rsidRPr="00C673E8" w:rsidRDefault="003F248F" w:rsidP="003F248F">
      <w:pPr>
        <w:pStyle w:val="ListParagraph"/>
        <w:spacing w:after="240"/>
        <w:ind w:left="375"/>
        <w:rPr>
          <w:rFonts w:ascii="Arial" w:hAnsi="Arial" w:cs="Arial"/>
          <w:szCs w:val="22"/>
        </w:rPr>
      </w:pPr>
    </w:p>
    <w:p w14:paraId="69751AA4" w14:textId="296B6F64" w:rsidR="003F248F" w:rsidRPr="00DB46D9" w:rsidRDefault="003F248F" w:rsidP="00DB46D9">
      <w:pPr>
        <w:pStyle w:val="ListParagraph"/>
        <w:numPr>
          <w:ilvl w:val="2"/>
          <w:numId w:val="32"/>
        </w:numPr>
        <w:spacing w:after="0"/>
        <w:rPr>
          <w:rFonts w:ascii="Arial" w:hAnsi="Arial" w:cs="Arial"/>
        </w:rPr>
      </w:pPr>
      <w:r w:rsidRPr="01563962">
        <w:rPr>
          <w:rFonts w:ascii="Arial" w:hAnsi="Arial" w:cs="Arial"/>
        </w:rPr>
        <w:t xml:space="preserve">The annual ADSS (Admissions Decision Support System) go-live </w:t>
      </w:r>
      <w:r w:rsidR="49535645" w:rsidRPr="01563962">
        <w:rPr>
          <w:rFonts w:ascii="Arial" w:hAnsi="Arial" w:cs="Arial"/>
        </w:rPr>
        <w:t>arrangements</w:t>
      </w:r>
      <w:r w:rsidR="00DB46D9">
        <w:rPr>
          <w:rFonts w:ascii="Arial" w:hAnsi="Arial" w:cs="Arial"/>
        </w:rPr>
        <w:t xml:space="preserve"> </w:t>
      </w:r>
      <w:r w:rsidRPr="00DB46D9">
        <w:rPr>
          <w:rFonts w:ascii="Arial" w:hAnsi="Arial" w:cs="Arial"/>
        </w:rPr>
        <w:t>include</w:t>
      </w:r>
      <w:r w:rsidR="42ECBFE1" w:rsidRPr="00DB46D9">
        <w:rPr>
          <w:rFonts w:ascii="Arial" w:hAnsi="Arial" w:cs="Arial"/>
        </w:rPr>
        <w:t xml:space="preserve"> </w:t>
      </w:r>
      <w:r w:rsidR="1A239A5F" w:rsidRPr="00DB46D9">
        <w:rPr>
          <w:rFonts w:ascii="Arial" w:hAnsi="Arial" w:cs="Arial"/>
        </w:rPr>
        <w:t xml:space="preserve">preparation of </w:t>
      </w:r>
      <w:r w:rsidR="42ECBFE1" w:rsidRPr="00DB46D9">
        <w:rPr>
          <w:rFonts w:ascii="Arial" w:hAnsi="Arial" w:cs="Arial"/>
        </w:rPr>
        <w:t>contextual data</w:t>
      </w:r>
      <w:r w:rsidR="49AE69C9" w:rsidRPr="00DB46D9">
        <w:rPr>
          <w:rFonts w:ascii="Arial" w:hAnsi="Arial" w:cs="Arial"/>
        </w:rPr>
        <w:t xml:space="preserve"> and</w:t>
      </w:r>
      <w:r w:rsidRPr="00DB46D9">
        <w:rPr>
          <w:rFonts w:ascii="Arial" w:hAnsi="Arial" w:cs="Arial"/>
        </w:rPr>
        <w:t xml:space="preserve"> updates to reference data, course/college combinations, admissions tests and the library of standard offers. UAO and ADSS Project team make these changes in the production environment. Parallel updates in SITS:Vision are escalated to second line support at Education IT.  </w:t>
      </w:r>
    </w:p>
    <w:p w14:paraId="4C8BF179" w14:textId="77777777" w:rsidR="003F248F" w:rsidRPr="00C673E8" w:rsidRDefault="003F248F" w:rsidP="003F248F">
      <w:pPr>
        <w:pStyle w:val="ListParagraph"/>
        <w:rPr>
          <w:rFonts w:ascii="Arial" w:hAnsi="Arial" w:cs="Arial"/>
          <w:szCs w:val="22"/>
        </w:rPr>
      </w:pPr>
    </w:p>
    <w:p w14:paraId="2FBB9E60" w14:textId="1DDFFEC5" w:rsidR="003F248F" w:rsidRPr="00C54077" w:rsidRDefault="003F248F" w:rsidP="01563962">
      <w:pPr>
        <w:pStyle w:val="ListParagraph"/>
        <w:numPr>
          <w:ilvl w:val="2"/>
          <w:numId w:val="32"/>
        </w:numPr>
        <w:spacing w:after="0"/>
        <w:rPr>
          <w:rFonts w:ascii="Arial" w:hAnsi="Arial" w:cs="Arial"/>
        </w:rPr>
      </w:pPr>
      <w:r w:rsidRPr="01563962">
        <w:rPr>
          <w:rFonts w:ascii="Arial" w:hAnsi="Arial" w:cs="Arial"/>
        </w:rPr>
        <w:t xml:space="preserve">Both ADSS and SITS:Vision are prepared for a new cycle of applications in early September and require involvement from ADSS Project and IT Services. UAO ensures the accuracy and reliability of the applications data in both ADSS and SITS:Vision. </w:t>
      </w:r>
    </w:p>
    <w:p w14:paraId="4BB7A689" w14:textId="77777777" w:rsidR="003F248F" w:rsidRPr="00C673E8" w:rsidRDefault="003F248F" w:rsidP="003F248F">
      <w:pPr>
        <w:spacing w:after="0"/>
        <w:rPr>
          <w:rFonts w:ascii="Arial" w:hAnsi="Arial" w:cs="Arial"/>
          <w:szCs w:val="22"/>
        </w:rPr>
      </w:pPr>
    </w:p>
    <w:p w14:paraId="5F7CB18E" w14:textId="77777777" w:rsidR="003F248F" w:rsidRDefault="003F248F" w:rsidP="003F248F">
      <w:pPr>
        <w:pStyle w:val="Heading2"/>
        <w:numPr>
          <w:ilvl w:val="1"/>
          <w:numId w:val="32"/>
        </w:numPr>
      </w:pPr>
      <w:bookmarkStart w:id="37" w:name="_Toc39663633"/>
      <w:bookmarkStart w:id="38" w:name="_Toc42458143"/>
      <w:r w:rsidRPr="00C673E8">
        <w:t>In Cycle Checks</w:t>
      </w:r>
      <w:bookmarkEnd w:id="37"/>
      <w:bookmarkEnd w:id="38"/>
    </w:p>
    <w:p w14:paraId="4DB481FB" w14:textId="77777777" w:rsidR="003F248F" w:rsidRPr="00EF0DEC" w:rsidRDefault="003F248F" w:rsidP="003F248F">
      <w:pPr>
        <w:spacing w:after="0"/>
      </w:pPr>
    </w:p>
    <w:p w14:paraId="20EB5B85" w14:textId="5FD7C010" w:rsidR="003F248F" w:rsidRPr="00C54077" w:rsidRDefault="003F248F" w:rsidP="01563962">
      <w:pPr>
        <w:pStyle w:val="ListParagraph"/>
        <w:numPr>
          <w:ilvl w:val="2"/>
          <w:numId w:val="32"/>
        </w:numPr>
        <w:rPr>
          <w:rFonts w:ascii="Arial" w:hAnsi="Arial" w:cs="Arial"/>
        </w:rPr>
      </w:pPr>
      <w:r w:rsidRPr="01563962">
        <w:rPr>
          <w:rFonts w:ascii="Arial" w:hAnsi="Arial" w:cs="Arial"/>
        </w:rPr>
        <w:t>UAO monitors the course-specific data entry collection on ADSS between the annual launch of the system to the collegiate university in October and the release of final decisions in mid-January.</w:t>
      </w:r>
      <w:r>
        <w:t xml:space="preserve"> </w:t>
      </w:r>
      <w:r w:rsidRPr="01563962">
        <w:rPr>
          <w:rFonts w:ascii="Arial" w:hAnsi="Arial" w:cs="Arial"/>
        </w:rPr>
        <w:t>Departmental admissions coordinators are responsible for the setup of the course-specific data entry fields in ADSS and are guided and supported by UAO. The course-specific data includes assessment scores</w:t>
      </w:r>
      <w:r w:rsidR="674AAE0F" w:rsidRPr="01563962">
        <w:rPr>
          <w:rFonts w:ascii="Arial" w:hAnsi="Arial" w:cs="Arial"/>
        </w:rPr>
        <w:t xml:space="preserve"> </w:t>
      </w:r>
      <w:r w:rsidRPr="01563962">
        <w:rPr>
          <w:rFonts w:ascii="Arial" w:hAnsi="Arial" w:cs="Arial"/>
        </w:rPr>
        <w:t xml:space="preserve">- UCAS pdf scores, tests, written work, portfolio grades, interview grades and so on. The data entry to ADSS is </w:t>
      </w:r>
      <w:r w:rsidR="0C01F850" w:rsidRPr="01563962">
        <w:rPr>
          <w:rFonts w:ascii="Arial" w:hAnsi="Arial" w:cs="Arial"/>
        </w:rPr>
        <w:t>carried out</w:t>
      </w:r>
      <w:r w:rsidRPr="01563962">
        <w:rPr>
          <w:rFonts w:ascii="Arial" w:hAnsi="Arial" w:cs="Arial"/>
        </w:rPr>
        <w:t xml:space="preserve"> by admitting tutors, college administrators/tutor for admissions and admissions coordinators</w:t>
      </w:r>
      <w:r w:rsidR="7874D911" w:rsidRPr="01563962">
        <w:rPr>
          <w:rFonts w:ascii="Arial" w:hAnsi="Arial" w:cs="Arial"/>
        </w:rPr>
        <w:t xml:space="preserve"> and the relevant level of permissions is managed by UAO</w:t>
      </w:r>
      <w:r w:rsidRPr="01563962">
        <w:rPr>
          <w:rFonts w:ascii="Arial" w:hAnsi="Arial" w:cs="Arial"/>
        </w:rPr>
        <w:t>. The data entry for non-ADSS departments (currently MML</w:t>
      </w:r>
      <w:r w:rsidR="6A76DCB4" w:rsidRPr="01563962">
        <w:rPr>
          <w:rFonts w:ascii="Arial" w:hAnsi="Arial" w:cs="Arial"/>
        </w:rPr>
        <w:t xml:space="preserve"> and</w:t>
      </w:r>
      <w:r w:rsidRPr="01563962">
        <w:rPr>
          <w:rFonts w:ascii="Arial" w:hAnsi="Arial" w:cs="Arial"/>
        </w:rPr>
        <w:t xml:space="preserve"> Physics) is carried out by manual data transfer between ADSS and satellite systems.   </w:t>
      </w:r>
    </w:p>
    <w:p w14:paraId="0022AEEC" w14:textId="77777777" w:rsidR="003F248F" w:rsidRDefault="003F248F" w:rsidP="003F248F">
      <w:pPr>
        <w:pStyle w:val="ListParagraph"/>
        <w:rPr>
          <w:rFonts w:ascii="Arial" w:hAnsi="Arial" w:cs="Arial"/>
          <w:szCs w:val="22"/>
        </w:rPr>
      </w:pPr>
    </w:p>
    <w:p w14:paraId="4D9D50A7" w14:textId="6E809341" w:rsidR="003F248F" w:rsidRPr="00C54077" w:rsidRDefault="003F248F" w:rsidP="01563962">
      <w:pPr>
        <w:pStyle w:val="ListParagraph"/>
        <w:numPr>
          <w:ilvl w:val="2"/>
          <w:numId w:val="32"/>
        </w:numPr>
        <w:rPr>
          <w:rFonts w:ascii="Arial" w:hAnsi="Arial" w:cs="Arial"/>
        </w:rPr>
      </w:pPr>
      <w:r w:rsidRPr="01563962">
        <w:rPr>
          <w:rFonts w:ascii="Arial" w:hAnsi="Arial" w:cs="Arial"/>
        </w:rPr>
        <w:t>UAO and SDMA have shared responsibility for processing contextual data on ADSS. External data sources are used to drive contextualisation of applicants. The accuracy of these data</w:t>
      </w:r>
      <w:r w:rsidR="561249F3" w:rsidRPr="01563962">
        <w:rPr>
          <w:rFonts w:ascii="Arial" w:hAnsi="Arial" w:cs="Arial"/>
        </w:rPr>
        <w:t xml:space="preserve"> is</w:t>
      </w:r>
      <w:r w:rsidRPr="01563962">
        <w:rPr>
          <w:rFonts w:ascii="Arial" w:hAnsi="Arial" w:cs="Arial"/>
        </w:rPr>
        <w:t xml:space="preserve"> dependent on the external provider. These data are assessed and agreed by SDMA and UAO prior to loading into ADSS.</w:t>
      </w:r>
    </w:p>
    <w:p w14:paraId="272BE3FF" w14:textId="77777777" w:rsidR="003F248F" w:rsidRDefault="003F248F" w:rsidP="003F248F">
      <w:pPr>
        <w:pStyle w:val="ListParagraph"/>
        <w:rPr>
          <w:rFonts w:ascii="Arial" w:hAnsi="Arial" w:cs="Arial"/>
          <w:szCs w:val="22"/>
        </w:rPr>
      </w:pPr>
    </w:p>
    <w:p w14:paraId="59D680E1" w14:textId="77777777" w:rsidR="003F248F" w:rsidRDefault="003F248F" w:rsidP="003F248F">
      <w:pPr>
        <w:pStyle w:val="ListParagraph"/>
        <w:numPr>
          <w:ilvl w:val="2"/>
          <w:numId w:val="32"/>
        </w:numPr>
        <w:rPr>
          <w:rFonts w:ascii="Arial" w:hAnsi="Arial" w:cs="Arial"/>
          <w:szCs w:val="22"/>
        </w:rPr>
      </w:pPr>
      <w:r w:rsidRPr="00CB5F6F">
        <w:rPr>
          <w:rFonts w:ascii="Arial" w:hAnsi="Arial" w:cs="Arial"/>
          <w:szCs w:val="22"/>
        </w:rPr>
        <w:t xml:space="preserve"> ADSS has embedded functionality to produce some aspect</w:t>
      </w:r>
      <w:r>
        <w:rPr>
          <w:rFonts w:ascii="Arial" w:hAnsi="Arial" w:cs="Arial"/>
          <w:szCs w:val="22"/>
        </w:rPr>
        <w:t>s</w:t>
      </w:r>
      <w:r w:rsidRPr="00CB5F6F">
        <w:rPr>
          <w:rFonts w:ascii="Arial" w:hAnsi="Arial" w:cs="Arial"/>
          <w:szCs w:val="22"/>
        </w:rPr>
        <w:t xml:space="preserve"> of the </w:t>
      </w:r>
      <w:r>
        <w:rPr>
          <w:rFonts w:ascii="Arial" w:hAnsi="Arial" w:cs="Arial"/>
          <w:szCs w:val="22"/>
        </w:rPr>
        <w:t xml:space="preserve">individual level </w:t>
      </w:r>
      <w:r w:rsidRPr="00CB5F6F">
        <w:rPr>
          <w:rFonts w:ascii="Arial" w:hAnsi="Arial" w:cs="Arial"/>
          <w:szCs w:val="22"/>
        </w:rPr>
        <w:t>contextual data,</w:t>
      </w:r>
      <w:r>
        <w:rPr>
          <w:rFonts w:ascii="Arial" w:hAnsi="Arial" w:cs="Arial"/>
          <w:szCs w:val="22"/>
        </w:rPr>
        <w:t xml:space="preserve"> </w:t>
      </w:r>
      <w:r w:rsidRPr="00CB5F6F">
        <w:rPr>
          <w:rFonts w:ascii="Arial" w:hAnsi="Arial" w:cs="Arial"/>
          <w:szCs w:val="22"/>
        </w:rPr>
        <w:t xml:space="preserve">such as contextualised GCSE grades, contextual scores and bands (composite measures). </w:t>
      </w:r>
      <w:r>
        <w:rPr>
          <w:rFonts w:ascii="Arial" w:hAnsi="Arial" w:cs="Arial"/>
          <w:szCs w:val="22"/>
        </w:rPr>
        <w:t xml:space="preserve">A significant proportion of the data, however, is computed offline by UAO and is imported to ADSS. </w:t>
      </w:r>
    </w:p>
    <w:p w14:paraId="151B3060" w14:textId="77777777" w:rsidR="003F248F" w:rsidRPr="00C741E9" w:rsidRDefault="003F248F" w:rsidP="003F248F">
      <w:pPr>
        <w:pStyle w:val="ListParagraph"/>
        <w:rPr>
          <w:rFonts w:ascii="Arial" w:hAnsi="Arial" w:cs="Arial"/>
          <w:szCs w:val="22"/>
        </w:rPr>
      </w:pPr>
    </w:p>
    <w:p w14:paraId="4F1B9749" w14:textId="0195C2DD" w:rsidR="003F248F" w:rsidRPr="003463F6" w:rsidRDefault="003F248F" w:rsidP="01563962">
      <w:pPr>
        <w:pStyle w:val="ListParagraph"/>
        <w:numPr>
          <w:ilvl w:val="2"/>
          <w:numId w:val="32"/>
        </w:numPr>
        <w:rPr>
          <w:rFonts w:ascii="Arial" w:hAnsi="Arial" w:cs="Arial"/>
        </w:rPr>
      </w:pPr>
      <w:r w:rsidRPr="01563962">
        <w:rPr>
          <w:rFonts w:ascii="Arial" w:hAnsi="Arial" w:cs="Arial"/>
        </w:rPr>
        <w:t xml:space="preserve">UAO is responsible for the accuracy of data transmitted between ADSS, SITS:Vision and UCAS. This happens at four key stages: a) open college allocation at the end of October, b) </w:t>
      </w:r>
      <w:r w:rsidRPr="01563962">
        <w:rPr>
          <w:rFonts w:ascii="Arial" w:hAnsi="Arial" w:cs="Arial"/>
        </w:rPr>
        <w:lastRenderedPageBreak/>
        <w:t>deselection after week 10 interview</w:t>
      </w:r>
      <w:r w:rsidR="00AA635D" w:rsidRPr="01563962">
        <w:rPr>
          <w:rFonts w:ascii="Arial" w:hAnsi="Arial" w:cs="Arial"/>
        </w:rPr>
        <w:t>s</w:t>
      </w:r>
      <w:r w:rsidRPr="01563962">
        <w:rPr>
          <w:rFonts w:ascii="Arial" w:hAnsi="Arial" w:cs="Arial"/>
        </w:rPr>
        <w:t xml:space="preserve"> are over, c) offers, and d) rejections on the University final decisions date in early January. </w:t>
      </w:r>
    </w:p>
    <w:p w14:paraId="70879F23" w14:textId="77777777" w:rsidR="003F248F" w:rsidRPr="00C9328B" w:rsidRDefault="003F248F" w:rsidP="003F248F">
      <w:pPr>
        <w:pStyle w:val="ListParagraph"/>
        <w:rPr>
          <w:rFonts w:ascii="Arial" w:hAnsi="Arial" w:cs="Arial"/>
          <w:szCs w:val="22"/>
        </w:rPr>
      </w:pPr>
    </w:p>
    <w:p w14:paraId="1DF0F6D5" w14:textId="6A81558E" w:rsidR="003F248F" w:rsidRPr="00C54077" w:rsidRDefault="003F248F" w:rsidP="01563962">
      <w:pPr>
        <w:pStyle w:val="ListParagraph"/>
        <w:numPr>
          <w:ilvl w:val="2"/>
          <w:numId w:val="32"/>
        </w:numPr>
        <w:rPr>
          <w:rFonts w:ascii="Arial" w:hAnsi="Arial" w:cs="Arial"/>
        </w:rPr>
      </w:pPr>
      <w:r w:rsidRPr="01563962">
        <w:rPr>
          <w:rFonts w:ascii="Arial" w:hAnsi="Arial" w:cs="Arial"/>
        </w:rPr>
        <w:t xml:space="preserve">UAO maintains comprehensive process documentation on all areas of data transfers between ADSS, SITS:Vision and UCAS.      </w:t>
      </w:r>
    </w:p>
    <w:p w14:paraId="4039F942" w14:textId="77777777" w:rsidR="003F248F" w:rsidRDefault="003F248F" w:rsidP="003F248F">
      <w:pPr>
        <w:pStyle w:val="Heading2"/>
        <w:numPr>
          <w:ilvl w:val="1"/>
          <w:numId w:val="32"/>
        </w:numPr>
        <w:spacing w:after="120"/>
      </w:pPr>
      <w:bookmarkStart w:id="39" w:name="_Toc39663634"/>
      <w:bookmarkStart w:id="40" w:name="_Toc42458144"/>
      <w:r>
        <w:t>Post-Offer and Confirmation</w:t>
      </w:r>
      <w:bookmarkEnd w:id="39"/>
      <w:bookmarkEnd w:id="40"/>
    </w:p>
    <w:p w14:paraId="0B1C3571" w14:textId="77777777" w:rsidR="003F248F" w:rsidRPr="00EF5075" w:rsidRDefault="003F248F" w:rsidP="003F248F">
      <w:pPr>
        <w:pStyle w:val="ListParagraph"/>
        <w:numPr>
          <w:ilvl w:val="2"/>
          <w:numId w:val="32"/>
        </w:numPr>
      </w:pPr>
      <w:r w:rsidRPr="00C54077">
        <w:rPr>
          <w:rFonts w:ascii="Arial" w:hAnsi="Arial" w:cs="Arial"/>
          <w:szCs w:val="22"/>
        </w:rPr>
        <w:t>Colleges are responsible for verifying qualifications on entry on eVision</w:t>
      </w:r>
      <w:r>
        <w:rPr>
          <w:rFonts w:ascii="Arial" w:hAnsi="Arial" w:cs="Arial"/>
          <w:szCs w:val="22"/>
        </w:rPr>
        <w:t xml:space="preserve"> (web interface of SITS:Vision)</w:t>
      </w:r>
      <w:r w:rsidRPr="00C54077">
        <w:rPr>
          <w:rFonts w:ascii="Arial" w:hAnsi="Arial" w:cs="Arial"/>
          <w:szCs w:val="22"/>
        </w:rPr>
        <w:t xml:space="preserve">. UAO maintains comprehensive process documentation on all areas of this process in the Admissions Handbook and carries out data quality monitoring. </w:t>
      </w:r>
    </w:p>
    <w:p w14:paraId="543AE912" w14:textId="77777777" w:rsidR="003F248F" w:rsidRPr="00EF5075" w:rsidRDefault="003F248F" w:rsidP="003F248F">
      <w:pPr>
        <w:pStyle w:val="ListParagraph"/>
      </w:pPr>
    </w:p>
    <w:p w14:paraId="2A1DD8D4" w14:textId="664EDB45" w:rsidR="00DB1BBC" w:rsidRPr="00DA6317" w:rsidRDefault="003F248F" w:rsidP="00DA6317">
      <w:pPr>
        <w:pStyle w:val="ListParagraph"/>
        <w:numPr>
          <w:ilvl w:val="2"/>
          <w:numId w:val="32"/>
        </w:numPr>
      </w:pPr>
      <w:r w:rsidRPr="01563962">
        <w:rPr>
          <w:rFonts w:ascii="Arial" w:hAnsi="Arial" w:cs="Arial"/>
        </w:rPr>
        <w:t xml:space="preserve">UAO is responsible for accuracy of data transmitted between UCAS and SITS at the confirmation stage, although some aspects of this work </w:t>
      </w:r>
      <w:r w:rsidR="380CB90F" w:rsidRPr="01563962">
        <w:rPr>
          <w:rFonts w:ascii="Arial" w:hAnsi="Arial" w:cs="Arial"/>
        </w:rPr>
        <w:t>are</w:t>
      </w:r>
      <w:r w:rsidRPr="01563962">
        <w:rPr>
          <w:rFonts w:ascii="Arial" w:hAnsi="Arial" w:cs="Arial"/>
        </w:rPr>
        <w:t xml:space="preserve"> managed by the Data Quality Team and IT Services. </w:t>
      </w:r>
    </w:p>
    <w:p w14:paraId="460DBFB2" w14:textId="77777777" w:rsidR="00DB1BBC" w:rsidRDefault="00DB1BBC" w:rsidP="00DA6317">
      <w:pPr>
        <w:pStyle w:val="ListParagraph"/>
      </w:pPr>
    </w:p>
    <w:p w14:paraId="371F78C8" w14:textId="7A4E54F3" w:rsidR="003F248F" w:rsidRPr="00DA6317" w:rsidRDefault="003F248F" w:rsidP="00DA6317">
      <w:pPr>
        <w:pStyle w:val="Heading2"/>
        <w:numPr>
          <w:ilvl w:val="1"/>
          <w:numId w:val="32"/>
        </w:numPr>
        <w:spacing w:after="120"/>
      </w:pPr>
      <w:bookmarkStart w:id="41" w:name="_Toc39663635"/>
      <w:bookmarkStart w:id="42" w:name="_Toc42458145"/>
      <w:r w:rsidRPr="00DB1BBC">
        <w:t>Reporting</w:t>
      </w:r>
      <w:bookmarkEnd w:id="41"/>
      <w:bookmarkEnd w:id="42"/>
    </w:p>
    <w:p w14:paraId="5E5BD443" w14:textId="6B23773E" w:rsidR="003F248F" w:rsidRDefault="003F248F" w:rsidP="01563962">
      <w:pPr>
        <w:pStyle w:val="ListParagraph"/>
        <w:numPr>
          <w:ilvl w:val="2"/>
          <w:numId w:val="32"/>
        </w:numPr>
        <w:rPr>
          <w:rFonts w:ascii="Arial" w:hAnsi="Arial" w:cs="Arial"/>
        </w:rPr>
      </w:pPr>
      <w:r w:rsidRPr="01563962">
        <w:rPr>
          <w:rFonts w:ascii="Arial" w:hAnsi="Arial" w:cs="Arial"/>
        </w:rPr>
        <w:t xml:space="preserve">The UG Admissions reporting is based upon the Definitive Dataset (DD) </w:t>
      </w:r>
      <w:r w:rsidR="4F85ACE4" w:rsidRPr="01563962">
        <w:rPr>
          <w:rFonts w:ascii="Arial" w:hAnsi="Arial" w:cs="Arial"/>
        </w:rPr>
        <w:t>and a Data Warehouse (DWH); both</w:t>
      </w:r>
      <w:r w:rsidRPr="01563962">
        <w:rPr>
          <w:rFonts w:ascii="Arial" w:hAnsi="Arial" w:cs="Arial"/>
        </w:rPr>
        <w:t xml:space="preserve"> dataset</w:t>
      </w:r>
      <w:r w:rsidR="67C0A717" w:rsidRPr="01563962">
        <w:rPr>
          <w:rFonts w:ascii="Arial" w:hAnsi="Arial" w:cs="Arial"/>
        </w:rPr>
        <w:t>s are</w:t>
      </w:r>
      <w:r w:rsidRPr="01563962">
        <w:rPr>
          <w:rFonts w:ascii="Arial" w:hAnsi="Arial" w:cs="Arial"/>
        </w:rPr>
        <w:t xml:space="preserve"> derived from ADSS and SITS</w:t>
      </w:r>
      <w:r w:rsidR="7842E2EB" w:rsidRPr="01563962">
        <w:rPr>
          <w:rFonts w:ascii="Arial" w:hAnsi="Arial" w:cs="Arial"/>
        </w:rPr>
        <w:t>:Vision</w:t>
      </w:r>
      <w:r w:rsidRPr="01563962">
        <w:rPr>
          <w:rFonts w:ascii="Arial" w:hAnsi="Arial" w:cs="Arial"/>
        </w:rPr>
        <w:t xml:space="preserve">. </w:t>
      </w:r>
    </w:p>
    <w:p w14:paraId="1F1EDED5" w14:textId="77777777" w:rsidR="00C93064" w:rsidRDefault="00C93064" w:rsidP="00FD28D7">
      <w:pPr>
        <w:pStyle w:val="ListParagraph"/>
        <w:rPr>
          <w:rFonts w:ascii="Arial" w:hAnsi="Arial" w:cs="Arial"/>
        </w:rPr>
      </w:pPr>
    </w:p>
    <w:p w14:paraId="4D695451" w14:textId="07F8E076" w:rsidR="003F248F" w:rsidRDefault="3B152AA8" w:rsidP="01563962">
      <w:pPr>
        <w:pStyle w:val="ListParagraph"/>
        <w:numPr>
          <w:ilvl w:val="2"/>
          <w:numId w:val="32"/>
        </w:numPr>
      </w:pPr>
      <w:r w:rsidRPr="01563962">
        <w:rPr>
          <w:rFonts w:ascii="Arial" w:hAnsi="Arial" w:cs="Arial"/>
        </w:rPr>
        <w:t>The creation of DD</w:t>
      </w:r>
      <w:r w:rsidR="003F248F" w:rsidRPr="01563962">
        <w:rPr>
          <w:rFonts w:ascii="Arial" w:hAnsi="Arial" w:cs="Arial"/>
        </w:rPr>
        <w:t xml:space="preserve"> is a manual process</w:t>
      </w:r>
      <w:r w:rsidR="7DD9D15B" w:rsidRPr="01563962">
        <w:rPr>
          <w:rFonts w:ascii="Arial" w:hAnsi="Arial" w:cs="Arial"/>
        </w:rPr>
        <w:t xml:space="preserve"> and</w:t>
      </w:r>
      <w:r w:rsidR="003F248F" w:rsidRPr="01563962">
        <w:rPr>
          <w:rFonts w:ascii="Arial" w:hAnsi="Arial" w:cs="Arial"/>
        </w:rPr>
        <w:t xml:space="preserve"> there is a risk of introducing errors during this stage. Certain data items may be restated in the DD so will no longer correspond with ADSS, some data is derived or calculated in the DD that does not exist in ADSS, and some data items have very loose data definitions that may lead to inaccuracy or misinterpretation. </w:t>
      </w:r>
    </w:p>
    <w:p w14:paraId="5CD48216" w14:textId="77777777" w:rsidR="003F248F" w:rsidRPr="00EC14E3" w:rsidRDefault="003F248F" w:rsidP="003F248F">
      <w:pPr>
        <w:pStyle w:val="ListParagraph"/>
        <w:rPr>
          <w:rFonts w:ascii="Arial" w:hAnsi="Arial" w:cs="Arial"/>
          <w:szCs w:val="22"/>
        </w:rPr>
      </w:pPr>
    </w:p>
    <w:p w14:paraId="5F8F7DF3" w14:textId="70051090" w:rsidR="003F248F" w:rsidRDefault="003F248F" w:rsidP="01563962">
      <w:pPr>
        <w:pStyle w:val="ListParagraph"/>
        <w:numPr>
          <w:ilvl w:val="2"/>
          <w:numId w:val="32"/>
        </w:numPr>
        <w:rPr>
          <w:rFonts w:ascii="Arial" w:hAnsi="Arial" w:cs="Arial"/>
        </w:rPr>
      </w:pPr>
      <w:r w:rsidRPr="01563962">
        <w:rPr>
          <w:rFonts w:ascii="Arial" w:hAnsi="Arial" w:cs="Arial"/>
        </w:rPr>
        <w:t xml:space="preserve"> The Data Warehouse is</w:t>
      </w:r>
      <w:r w:rsidR="55D21AB3" w:rsidRPr="01563962">
        <w:rPr>
          <w:rFonts w:ascii="Arial" w:hAnsi="Arial" w:cs="Arial"/>
        </w:rPr>
        <w:t xml:space="preserve"> a recent joint development by UAO and SDMA and is </w:t>
      </w:r>
      <w:r w:rsidRPr="01563962">
        <w:rPr>
          <w:rFonts w:ascii="Arial" w:hAnsi="Arial" w:cs="Arial"/>
        </w:rPr>
        <w:t xml:space="preserve">a robust repository of granular undergraduate admissions data, which archives historic data and complies with associated data management governance to support the needs of statutory, operational reporting and analytics related to undergraduate admissions data. </w:t>
      </w:r>
    </w:p>
    <w:p w14:paraId="1EDFCC10" w14:textId="77777777" w:rsidR="003F248F" w:rsidRPr="00B354ED" w:rsidRDefault="003F248F" w:rsidP="003F248F">
      <w:pPr>
        <w:pStyle w:val="ListParagraph"/>
        <w:rPr>
          <w:rFonts w:ascii="Arial" w:hAnsi="Arial" w:cs="Arial"/>
          <w:szCs w:val="22"/>
        </w:rPr>
      </w:pPr>
    </w:p>
    <w:p w14:paraId="70D025D9" w14:textId="77777777" w:rsidR="00C93064" w:rsidRDefault="003F248F" w:rsidP="00C93064">
      <w:pPr>
        <w:pStyle w:val="ListParagraph"/>
        <w:numPr>
          <w:ilvl w:val="2"/>
          <w:numId w:val="32"/>
        </w:numPr>
        <w:rPr>
          <w:rFonts w:ascii="Arial" w:hAnsi="Arial" w:cs="Arial"/>
        </w:rPr>
      </w:pPr>
      <w:r w:rsidRPr="01563962">
        <w:rPr>
          <w:rFonts w:ascii="Arial" w:hAnsi="Arial" w:cs="Arial"/>
        </w:rPr>
        <w:t>The Data Warehouse links to existing undergraduate admissions systems through an overnight refresh from ADSS and SITS:Vision. UAO and SDMA use the Data Warehouse as a primary source of extracting data for Admissions Process Reviews</w:t>
      </w:r>
      <w:r w:rsidR="00C93064">
        <w:rPr>
          <w:rFonts w:ascii="Arial" w:hAnsi="Arial" w:cs="Arial"/>
        </w:rPr>
        <w:t>.</w:t>
      </w:r>
    </w:p>
    <w:p w14:paraId="29643574" w14:textId="77777777" w:rsidR="00C93064" w:rsidRPr="00FD28D7" w:rsidRDefault="00C93064" w:rsidP="00FD28D7">
      <w:pPr>
        <w:pStyle w:val="ListParagraph"/>
        <w:rPr>
          <w:rFonts w:ascii="Arial" w:hAnsi="Arial" w:cs="Arial"/>
        </w:rPr>
      </w:pPr>
    </w:p>
    <w:p w14:paraId="420E1343" w14:textId="6A7531B3" w:rsidR="6A36AD74" w:rsidRPr="00FD28D7" w:rsidRDefault="6A36AD74" w:rsidP="00C93064">
      <w:pPr>
        <w:pStyle w:val="ListParagraph"/>
        <w:numPr>
          <w:ilvl w:val="2"/>
          <w:numId w:val="32"/>
        </w:numPr>
      </w:pPr>
      <w:r w:rsidRPr="00C93064">
        <w:rPr>
          <w:rFonts w:ascii="Arial" w:hAnsi="Arial" w:cs="Arial"/>
        </w:rPr>
        <w:t xml:space="preserve">SDMA and UAO are </w:t>
      </w:r>
      <w:r w:rsidR="4F0BD5DE" w:rsidRPr="00C93064">
        <w:rPr>
          <w:rFonts w:ascii="Arial" w:hAnsi="Arial" w:cs="Arial"/>
        </w:rPr>
        <w:t>scoping the decommission of DD in the coming years and will be using the DWH as a single source for historic undergrad</w:t>
      </w:r>
      <w:r w:rsidR="67C343AA" w:rsidRPr="00C93064">
        <w:rPr>
          <w:rFonts w:ascii="Arial" w:hAnsi="Arial" w:cs="Arial"/>
        </w:rPr>
        <w:t xml:space="preserve">uate admissions data. </w:t>
      </w:r>
    </w:p>
    <w:p w14:paraId="16850857" w14:textId="77777777" w:rsidR="00C93064" w:rsidRPr="00132D27" w:rsidRDefault="00C93064" w:rsidP="00FD28D7">
      <w:pPr>
        <w:pStyle w:val="ListParagraph"/>
        <w:rPr>
          <w:rFonts w:ascii="Arial" w:hAnsi="Arial" w:cs="Arial"/>
        </w:rPr>
      </w:pPr>
    </w:p>
    <w:p w14:paraId="7ED70095" w14:textId="38A857D2" w:rsidR="00C93064" w:rsidRPr="00FD28D7" w:rsidRDefault="00C93064" w:rsidP="01563962">
      <w:pPr>
        <w:pStyle w:val="ListParagraph"/>
        <w:numPr>
          <w:ilvl w:val="2"/>
          <w:numId w:val="32"/>
        </w:numPr>
        <w:rPr>
          <w:rFonts w:ascii="Arial" w:hAnsi="Arial" w:cs="Arial"/>
        </w:rPr>
      </w:pPr>
      <w:r w:rsidRPr="12BAF63C">
        <w:rPr>
          <w:rFonts w:ascii="Arial" w:hAnsi="Arial" w:cs="Arial"/>
        </w:rPr>
        <w:t>Both the DD and the DWH combine ADSS data from multiple admissions cycles to enable trend reporting. Owing to changing operational demands, certain data fields are not used consistently across different iterations of ADSS, which introduces a risk to data quality in these areas. This risk does not generally apply to the fields used for scheduled admissions reporting.</w:t>
      </w:r>
    </w:p>
    <w:p w14:paraId="5D3D7445" w14:textId="77777777" w:rsidR="003F248F" w:rsidRPr="00B354ED" w:rsidRDefault="003F248F" w:rsidP="003F248F">
      <w:pPr>
        <w:pStyle w:val="ListParagraph"/>
        <w:rPr>
          <w:rFonts w:ascii="Arial" w:hAnsi="Arial" w:cs="Arial"/>
          <w:szCs w:val="22"/>
        </w:rPr>
      </w:pPr>
    </w:p>
    <w:p w14:paraId="19A270EE" w14:textId="2E4D76DA" w:rsidR="003F248F" w:rsidRPr="00DA6317" w:rsidRDefault="00DB1BBC" w:rsidP="00DA6317">
      <w:pPr>
        <w:pStyle w:val="Heading2"/>
        <w:numPr>
          <w:ilvl w:val="1"/>
          <w:numId w:val="32"/>
        </w:numPr>
        <w:spacing w:after="120"/>
      </w:pPr>
      <w:bookmarkStart w:id="43" w:name="_Toc39663636"/>
      <w:bookmarkStart w:id="44" w:name="_Toc42458146"/>
      <w:r w:rsidRPr="00DA6317">
        <w:t>Retention</w:t>
      </w:r>
      <w:bookmarkEnd w:id="43"/>
      <w:bookmarkEnd w:id="44"/>
    </w:p>
    <w:p w14:paraId="03F0488F" w14:textId="2EB38061" w:rsidR="003F248F" w:rsidRPr="00C54077" w:rsidRDefault="003F248F" w:rsidP="004E53C1">
      <w:pPr>
        <w:tabs>
          <w:tab w:val="left" w:pos="426"/>
        </w:tabs>
        <w:spacing w:after="160"/>
        <w:rPr>
          <w:rFonts w:ascii="Arial" w:hAnsi="Arial" w:cs="Arial"/>
          <w:szCs w:val="22"/>
        </w:rPr>
      </w:pPr>
      <w:r w:rsidRPr="00C54077">
        <w:rPr>
          <w:rFonts w:ascii="Arial" w:hAnsi="Arial" w:cs="Arial"/>
          <w:szCs w:val="22"/>
        </w:rPr>
        <w:t>The Undergraduate Admissions and Outreach team will adhere to Student Record Retention Policy, in addition to participating in its annual update.</w:t>
      </w:r>
    </w:p>
    <w:bookmarkEnd w:id="14"/>
    <w:p w14:paraId="05D9CDEF" w14:textId="2131BAEC" w:rsidR="00AA635D" w:rsidRDefault="00AA635D">
      <w:pPr>
        <w:rPr>
          <w:rFonts w:ascii="Arial" w:hAnsi="Arial" w:cs="Arial"/>
          <w:szCs w:val="22"/>
        </w:rPr>
      </w:pPr>
      <w:r>
        <w:rPr>
          <w:rFonts w:ascii="Arial" w:hAnsi="Arial" w:cs="Arial"/>
          <w:szCs w:val="22"/>
        </w:rPr>
        <w:br w:type="page"/>
      </w:r>
    </w:p>
    <w:p w14:paraId="52C430F2" w14:textId="250B9763" w:rsidR="00B25D79" w:rsidRDefault="0085057B" w:rsidP="0085057B">
      <w:pPr>
        <w:pStyle w:val="Heading1"/>
      </w:pPr>
      <w:bookmarkStart w:id="45" w:name="_Toc42458147"/>
      <w:r w:rsidRPr="00987BC4">
        <w:lastRenderedPageBreak/>
        <w:t>A</w:t>
      </w:r>
      <w:r>
        <w:t>ppendix</w:t>
      </w:r>
      <w:r w:rsidR="00CA2176">
        <w:t xml:space="preserve"> 1</w:t>
      </w:r>
      <w:r w:rsidRPr="00987BC4">
        <w:t xml:space="preserve">: </w:t>
      </w:r>
      <w:r w:rsidR="00CA2176">
        <w:t xml:space="preserve">External Data </w:t>
      </w:r>
      <w:r w:rsidR="00B25D79">
        <w:t>Returns</w:t>
      </w:r>
      <w:bookmarkEnd w:id="45"/>
      <w:r>
        <w:t xml:space="preserve"> </w:t>
      </w:r>
    </w:p>
    <w:tbl>
      <w:tblPr>
        <w:tblStyle w:val="TableGrid"/>
        <w:tblW w:w="9634" w:type="dxa"/>
        <w:tblLook w:val="04A0" w:firstRow="1" w:lastRow="0" w:firstColumn="1" w:lastColumn="0" w:noHBand="0" w:noVBand="1"/>
      </w:tblPr>
      <w:tblGrid>
        <w:gridCol w:w="2632"/>
        <w:gridCol w:w="1670"/>
        <w:gridCol w:w="1441"/>
        <w:gridCol w:w="3891"/>
      </w:tblGrid>
      <w:tr w:rsidR="00CA2176" w14:paraId="67FDEE0A" w14:textId="77777777" w:rsidTr="00DB46D9">
        <w:tc>
          <w:tcPr>
            <w:tcW w:w="2632" w:type="dxa"/>
            <w:vAlign w:val="center"/>
          </w:tcPr>
          <w:p w14:paraId="401CDA15" w14:textId="750BCADA" w:rsidR="00CA2176" w:rsidRPr="00B25D79" w:rsidRDefault="00CA2176" w:rsidP="00CA2176">
            <w:pPr>
              <w:pStyle w:val="Heading1"/>
              <w:outlineLvl w:val="0"/>
              <w:rPr>
                <w:rFonts w:ascii="Arial" w:hAnsi="Arial" w:cs="Arial"/>
                <w:b/>
                <w:sz w:val="20"/>
                <w:szCs w:val="20"/>
              </w:rPr>
            </w:pPr>
            <w:bookmarkStart w:id="46" w:name="_Toc42458148"/>
            <w:r w:rsidRPr="00B25D79">
              <w:rPr>
                <w:rFonts w:ascii="Arial" w:eastAsiaTheme="minorEastAsia" w:hAnsi="Arial" w:cs="Arial"/>
                <w:b/>
                <w:smallCaps w:val="0"/>
                <w:spacing w:val="0"/>
                <w:sz w:val="20"/>
                <w:szCs w:val="22"/>
              </w:rPr>
              <w:t>Return Name</w:t>
            </w:r>
            <w:bookmarkEnd w:id="46"/>
          </w:p>
        </w:tc>
        <w:tc>
          <w:tcPr>
            <w:tcW w:w="1670" w:type="dxa"/>
            <w:vAlign w:val="center"/>
          </w:tcPr>
          <w:p w14:paraId="2DE723D5" w14:textId="0FCB5E77" w:rsidR="00CA2176" w:rsidRPr="00B25D79" w:rsidRDefault="00CA2176" w:rsidP="00CA2176">
            <w:pPr>
              <w:pStyle w:val="Heading1"/>
              <w:outlineLvl w:val="0"/>
              <w:rPr>
                <w:rFonts w:ascii="Arial" w:eastAsiaTheme="minorEastAsia" w:hAnsi="Arial" w:cs="Arial"/>
                <w:b/>
                <w:smallCaps w:val="0"/>
                <w:spacing w:val="0"/>
                <w:sz w:val="20"/>
                <w:szCs w:val="22"/>
              </w:rPr>
            </w:pPr>
            <w:bookmarkStart w:id="47" w:name="_Toc42458149"/>
            <w:r>
              <w:rPr>
                <w:rFonts w:ascii="Arial" w:eastAsiaTheme="minorEastAsia" w:hAnsi="Arial" w:cs="Arial"/>
                <w:b/>
                <w:smallCaps w:val="0"/>
                <w:spacing w:val="0"/>
                <w:sz w:val="20"/>
                <w:szCs w:val="22"/>
              </w:rPr>
              <w:t>External Body</w:t>
            </w:r>
            <w:bookmarkEnd w:id="47"/>
          </w:p>
        </w:tc>
        <w:tc>
          <w:tcPr>
            <w:tcW w:w="1441" w:type="dxa"/>
            <w:vAlign w:val="center"/>
          </w:tcPr>
          <w:p w14:paraId="175671CE" w14:textId="28947C4B" w:rsidR="00CA2176" w:rsidRPr="00B25D79" w:rsidRDefault="00CA2176" w:rsidP="00CA2176">
            <w:pPr>
              <w:pStyle w:val="Heading1"/>
              <w:outlineLvl w:val="0"/>
              <w:rPr>
                <w:rFonts w:ascii="Arial" w:eastAsiaTheme="minorEastAsia" w:hAnsi="Arial" w:cs="Arial"/>
                <w:b/>
                <w:smallCaps w:val="0"/>
                <w:spacing w:val="0"/>
                <w:sz w:val="20"/>
                <w:szCs w:val="22"/>
              </w:rPr>
            </w:pPr>
            <w:bookmarkStart w:id="48" w:name="_Toc42458150"/>
            <w:r w:rsidRPr="00B25D79">
              <w:rPr>
                <w:rFonts w:ascii="Arial" w:eastAsiaTheme="minorEastAsia" w:hAnsi="Arial" w:cs="Arial"/>
                <w:b/>
                <w:smallCaps w:val="0"/>
                <w:spacing w:val="0"/>
                <w:sz w:val="20"/>
                <w:szCs w:val="22"/>
              </w:rPr>
              <w:t>Deadline</w:t>
            </w:r>
            <w:bookmarkEnd w:id="48"/>
          </w:p>
        </w:tc>
        <w:tc>
          <w:tcPr>
            <w:tcW w:w="3891" w:type="dxa"/>
            <w:vAlign w:val="center"/>
          </w:tcPr>
          <w:p w14:paraId="6A58B3FD" w14:textId="17482315" w:rsidR="00CA2176" w:rsidRPr="00B25D79" w:rsidRDefault="00CA2176" w:rsidP="00CA2176">
            <w:pPr>
              <w:pStyle w:val="Heading1"/>
              <w:outlineLvl w:val="0"/>
              <w:rPr>
                <w:rFonts w:ascii="Arial" w:eastAsiaTheme="minorEastAsia" w:hAnsi="Arial" w:cs="Arial"/>
                <w:b/>
                <w:smallCaps w:val="0"/>
                <w:spacing w:val="0"/>
                <w:sz w:val="20"/>
                <w:szCs w:val="22"/>
              </w:rPr>
            </w:pPr>
            <w:bookmarkStart w:id="49" w:name="_Toc42458151"/>
            <w:r w:rsidRPr="00B25D79">
              <w:rPr>
                <w:rFonts w:ascii="Arial" w:eastAsiaTheme="minorEastAsia" w:hAnsi="Arial" w:cs="Arial"/>
                <w:b/>
                <w:smallCaps w:val="0"/>
                <w:spacing w:val="0"/>
                <w:sz w:val="20"/>
                <w:szCs w:val="22"/>
              </w:rPr>
              <w:t>Compiled By</w:t>
            </w:r>
            <w:bookmarkEnd w:id="49"/>
          </w:p>
        </w:tc>
      </w:tr>
      <w:tr w:rsidR="00CA2176" w14:paraId="0F85EB89" w14:textId="77777777" w:rsidTr="00DB46D9">
        <w:tc>
          <w:tcPr>
            <w:tcW w:w="2632" w:type="dxa"/>
            <w:vAlign w:val="center"/>
          </w:tcPr>
          <w:p w14:paraId="6457A881" w14:textId="680D0C04" w:rsidR="00CA2176" w:rsidRPr="00B25D79" w:rsidRDefault="00CA2176" w:rsidP="00CA2176">
            <w:pPr>
              <w:pStyle w:val="Heading1"/>
              <w:outlineLvl w:val="0"/>
              <w:rPr>
                <w:rFonts w:ascii="Arial" w:eastAsiaTheme="minorEastAsia" w:hAnsi="Arial" w:cs="Arial"/>
                <w:smallCaps w:val="0"/>
                <w:spacing w:val="0"/>
                <w:sz w:val="20"/>
                <w:szCs w:val="22"/>
              </w:rPr>
            </w:pPr>
            <w:bookmarkStart w:id="50" w:name="_Toc42458152"/>
            <w:r>
              <w:rPr>
                <w:rFonts w:ascii="Arial" w:eastAsiaTheme="minorEastAsia" w:hAnsi="Arial" w:cs="Arial"/>
                <w:smallCaps w:val="0"/>
                <w:spacing w:val="0"/>
                <w:sz w:val="20"/>
                <w:szCs w:val="22"/>
              </w:rPr>
              <w:t>Higher Education Students Early Statistics (HESES)</w:t>
            </w:r>
            <w:bookmarkEnd w:id="50"/>
          </w:p>
        </w:tc>
        <w:tc>
          <w:tcPr>
            <w:tcW w:w="1670" w:type="dxa"/>
            <w:vAlign w:val="center"/>
          </w:tcPr>
          <w:p w14:paraId="11E841F2" w14:textId="687C5E27" w:rsidR="00CA2176" w:rsidRPr="00B25D79" w:rsidRDefault="00CA2176" w:rsidP="00CA2176">
            <w:pPr>
              <w:pStyle w:val="Heading1"/>
              <w:outlineLvl w:val="0"/>
              <w:rPr>
                <w:rFonts w:ascii="Arial" w:eastAsiaTheme="minorEastAsia" w:hAnsi="Arial" w:cs="Arial"/>
                <w:smallCaps w:val="0"/>
                <w:spacing w:val="0"/>
                <w:sz w:val="20"/>
                <w:szCs w:val="22"/>
              </w:rPr>
            </w:pPr>
            <w:bookmarkStart w:id="51" w:name="_Toc42458153"/>
            <w:r>
              <w:rPr>
                <w:rFonts w:ascii="Arial" w:eastAsiaTheme="minorEastAsia" w:hAnsi="Arial" w:cs="Arial"/>
                <w:smallCaps w:val="0"/>
                <w:spacing w:val="0"/>
                <w:sz w:val="20"/>
                <w:szCs w:val="22"/>
              </w:rPr>
              <w:t>OfS</w:t>
            </w:r>
            <w:bookmarkEnd w:id="51"/>
          </w:p>
        </w:tc>
        <w:tc>
          <w:tcPr>
            <w:tcW w:w="1441" w:type="dxa"/>
            <w:vAlign w:val="center"/>
          </w:tcPr>
          <w:p w14:paraId="163695AB" w14:textId="355A2C10" w:rsidR="00CA2176" w:rsidRPr="00B25D79" w:rsidRDefault="00CA2176" w:rsidP="00CA2176">
            <w:pPr>
              <w:pStyle w:val="Heading1"/>
              <w:outlineLvl w:val="0"/>
              <w:rPr>
                <w:rFonts w:ascii="Arial" w:eastAsiaTheme="minorEastAsia" w:hAnsi="Arial" w:cs="Arial"/>
                <w:smallCaps w:val="0"/>
                <w:spacing w:val="0"/>
                <w:sz w:val="20"/>
                <w:szCs w:val="22"/>
              </w:rPr>
            </w:pPr>
            <w:bookmarkStart w:id="52" w:name="_Toc42458154"/>
            <w:r>
              <w:rPr>
                <w:rFonts w:ascii="Arial" w:eastAsiaTheme="minorEastAsia" w:hAnsi="Arial" w:cs="Arial"/>
                <w:smallCaps w:val="0"/>
                <w:spacing w:val="0"/>
                <w:sz w:val="20"/>
                <w:szCs w:val="22"/>
              </w:rPr>
              <w:t>December</w:t>
            </w:r>
            <w:bookmarkEnd w:id="52"/>
          </w:p>
        </w:tc>
        <w:tc>
          <w:tcPr>
            <w:tcW w:w="3891" w:type="dxa"/>
            <w:vAlign w:val="center"/>
          </w:tcPr>
          <w:p w14:paraId="47186FCD" w14:textId="0948887C" w:rsidR="00CA2176" w:rsidRPr="00B25D79" w:rsidRDefault="00CA2176" w:rsidP="00CA2176">
            <w:pPr>
              <w:pStyle w:val="Heading1"/>
              <w:outlineLvl w:val="0"/>
              <w:rPr>
                <w:rFonts w:ascii="Arial" w:eastAsiaTheme="minorEastAsia" w:hAnsi="Arial" w:cs="Arial"/>
                <w:smallCaps w:val="0"/>
                <w:spacing w:val="0"/>
                <w:sz w:val="20"/>
                <w:szCs w:val="22"/>
              </w:rPr>
            </w:pPr>
            <w:bookmarkStart w:id="53" w:name="_Toc42458155"/>
            <w:r>
              <w:rPr>
                <w:rFonts w:ascii="Arial" w:eastAsiaTheme="minorEastAsia" w:hAnsi="Arial" w:cs="Arial"/>
                <w:smallCaps w:val="0"/>
                <w:spacing w:val="0"/>
                <w:sz w:val="20"/>
                <w:szCs w:val="22"/>
              </w:rPr>
              <w:t>Planning and Council Secretariat</w:t>
            </w:r>
            <w:bookmarkEnd w:id="53"/>
          </w:p>
        </w:tc>
      </w:tr>
      <w:tr w:rsidR="00CA2176" w14:paraId="6282F294" w14:textId="77777777" w:rsidTr="00DB46D9">
        <w:tc>
          <w:tcPr>
            <w:tcW w:w="2632" w:type="dxa"/>
            <w:vAlign w:val="center"/>
          </w:tcPr>
          <w:p w14:paraId="187C0EB3" w14:textId="7FEA438C" w:rsidR="00CA2176" w:rsidRPr="00B25D79" w:rsidRDefault="00CA2176" w:rsidP="00CA2176">
            <w:pPr>
              <w:pStyle w:val="Heading1"/>
              <w:outlineLvl w:val="0"/>
              <w:rPr>
                <w:rFonts w:ascii="Arial" w:eastAsiaTheme="minorEastAsia" w:hAnsi="Arial" w:cs="Arial"/>
                <w:smallCaps w:val="0"/>
                <w:spacing w:val="0"/>
                <w:sz w:val="20"/>
                <w:szCs w:val="22"/>
              </w:rPr>
            </w:pPr>
            <w:bookmarkStart w:id="54" w:name="_Toc42458156"/>
            <w:r>
              <w:rPr>
                <w:rFonts w:ascii="Arial" w:eastAsiaTheme="minorEastAsia" w:hAnsi="Arial" w:cs="Arial"/>
                <w:smallCaps w:val="0"/>
                <w:spacing w:val="0"/>
                <w:sz w:val="20"/>
                <w:szCs w:val="22"/>
              </w:rPr>
              <w:t>HESA Student</w:t>
            </w:r>
            <w:bookmarkEnd w:id="54"/>
          </w:p>
        </w:tc>
        <w:tc>
          <w:tcPr>
            <w:tcW w:w="1670" w:type="dxa"/>
            <w:vAlign w:val="center"/>
          </w:tcPr>
          <w:p w14:paraId="6A4CAE69" w14:textId="383229A7" w:rsidR="00CA2176" w:rsidRPr="00B25D79" w:rsidRDefault="00CA2176" w:rsidP="00CA2176">
            <w:pPr>
              <w:pStyle w:val="Heading1"/>
              <w:outlineLvl w:val="0"/>
              <w:rPr>
                <w:rFonts w:ascii="Arial" w:eastAsiaTheme="minorEastAsia" w:hAnsi="Arial" w:cs="Arial"/>
                <w:smallCaps w:val="0"/>
                <w:spacing w:val="0"/>
                <w:sz w:val="20"/>
                <w:szCs w:val="22"/>
              </w:rPr>
            </w:pPr>
            <w:bookmarkStart w:id="55" w:name="_Toc42458157"/>
            <w:r>
              <w:rPr>
                <w:rFonts w:ascii="Arial" w:eastAsiaTheme="minorEastAsia" w:hAnsi="Arial" w:cs="Arial"/>
                <w:smallCaps w:val="0"/>
                <w:spacing w:val="0"/>
                <w:sz w:val="20"/>
                <w:szCs w:val="22"/>
              </w:rPr>
              <w:t>HESA</w:t>
            </w:r>
            <w:bookmarkEnd w:id="55"/>
          </w:p>
        </w:tc>
        <w:tc>
          <w:tcPr>
            <w:tcW w:w="1441" w:type="dxa"/>
            <w:vAlign w:val="center"/>
          </w:tcPr>
          <w:p w14:paraId="1ACBD3A1" w14:textId="29DA3A76" w:rsidR="00CA2176" w:rsidRPr="00B25D79" w:rsidRDefault="00CA2176" w:rsidP="00CA2176">
            <w:pPr>
              <w:pStyle w:val="Heading1"/>
              <w:outlineLvl w:val="0"/>
              <w:rPr>
                <w:rFonts w:ascii="Arial" w:eastAsiaTheme="minorEastAsia" w:hAnsi="Arial" w:cs="Arial"/>
                <w:smallCaps w:val="0"/>
                <w:spacing w:val="0"/>
                <w:sz w:val="20"/>
                <w:szCs w:val="22"/>
              </w:rPr>
            </w:pPr>
            <w:bookmarkStart w:id="56" w:name="_Toc42458158"/>
            <w:r>
              <w:rPr>
                <w:rFonts w:ascii="Arial" w:eastAsiaTheme="minorEastAsia" w:hAnsi="Arial" w:cs="Arial"/>
                <w:smallCaps w:val="0"/>
                <w:spacing w:val="0"/>
                <w:sz w:val="20"/>
                <w:szCs w:val="22"/>
              </w:rPr>
              <w:t>October</w:t>
            </w:r>
            <w:bookmarkEnd w:id="56"/>
          </w:p>
        </w:tc>
        <w:tc>
          <w:tcPr>
            <w:tcW w:w="3891" w:type="dxa"/>
            <w:vAlign w:val="center"/>
          </w:tcPr>
          <w:p w14:paraId="18828708" w14:textId="2339B842" w:rsidR="00CA2176" w:rsidRPr="00B25D79" w:rsidRDefault="00CA2176" w:rsidP="00CA2176">
            <w:pPr>
              <w:pStyle w:val="Heading1"/>
              <w:outlineLvl w:val="0"/>
              <w:rPr>
                <w:rFonts w:ascii="Arial" w:eastAsiaTheme="minorEastAsia" w:hAnsi="Arial" w:cs="Arial"/>
                <w:smallCaps w:val="0"/>
                <w:spacing w:val="0"/>
                <w:sz w:val="20"/>
                <w:szCs w:val="22"/>
              </w:rPr>
            </w:pPr>
            <w:bookmarkStart w:id="57" w:name="_Toc42458159"/>
            <w:r>
              <w:rPr>
                <w:rFonts w:ascii="Arial" w:eastAsiaTheme="minorEastAsia" w:hAnsi="Arial" w:cs="Arial"/>
                <w:smallCaps w:val="0"/>
                <w:spacing w:val="0"/>
                <w:sz w:val="20"/>
                <w:szCs w:val="22"/>
              </w:rPr>
              <w:t>Data Quality Team</w:t>
            </w:r>
            <w:bookmarkEnd w:id="57"/>
          </w:p>
        </w:tc>
      </w:tr>
      <w:tr w:rsidR="00CA2176" w14:paraId="55210650" w14:textId="77777777" w:rsidTr="00DB46D9">
        <w:tc>
          <w:tcPr>
            <w:tcW w:w="2632" w:type="dxa"/>
            <w:vAlign w:val="center"/>
          </w:tcPr>
          <w:p w14:paraId="3446536C" w14:textId="7612E008" w:rsidR="00CA2176" w:rsidRPr="00B25D79" w:rsidRDefault="00CA2176" w:rsidP="00CA2176">
            <w:pPr>
              <w:pStyle w:val="Heading1"/>
              <w:outlineLvl w:val="0"/>
              <w:rPr>
                <w:rFonts w:ascii="Arial" w:eastAsiaTheme="minorEastAsia" w:hAnsi="Arial" w:cs="Arial"/>
                <w:smallCaps w:val="0"/>
                <w:spacing w:val="0"/>
                <w:sz w:val="20"/>
                <w:szCs w:val="22"/>
              </w:rPr>
            </w:pPr>
            <w:bookmarkStart w:id="58" w:name="_Toc42458160"/>
            <w:r>
              <w:rPr>
                <w:rFonts w:ascii="Arial" w:eastAsiaTheme="minorEastAsia" w:hAnsi="Arial" w:cs="Arial"/>
                <w:smallCaps w:val="0"/>
                <w:spacing w:val="0"/>
                <w:sz w:val="20"/>
                <w:szCs w:val="22"/>
              </w:rPr>
              <w:t>HESA Initial Teacher Training (ITT)</w:t>
            </w:r>
            <w:bookmarkEnd w:id="58"/>
          </w:p>
        </w:tc>
        <w:tc>
          <w:tcPr>
            <w:tcW w:w="1670" w:type="dxa"/>
            <w:vAlign w:val="center"/>
          </w:tcPr>
          <w:p w14:paraId="08FB1361" w14:textId="54C169CC" w:rsidR="00CA2176" w:rsidRPr="00B25D79" w:rsidRDefault="00CA2176" w:rsidP="00CA2176">
            <w:pPr>
              <w:pStyle w:val="Heading1"/>
              <w:outlineLvl w:val="0"/>
              <w:rPr>
                <w:rFonts w:ascii="Arial" w:eastAsiaTheme="minorEastAsia" w:hAnsi="Arial" w:cs="Arial"/>
                <w:smallCaps w:val="0"/>
                <w:spacing w:val="0"/>
                <w:sz w:val="20"/>
                <w:szCs w:val="22"/>
              </w:rPr>
            </w:pPr>
            <w:bookmarkStart w:id="59" w:name="_Toc42458161"/>
            <w:r>
              <w:rPr>
                <w:rFonts w:ascii="Arial" w:eastAsiaTheme="minorEastAsia" w:hAnsi="Arial" w:cs="Arial"/>
                <w:smallCaps w:val="0"/>
                <w:spacing w:val="0"/>
                <w:sz w:val="20"/>
                <w:szCs w:val="22"/>
              </w:rPr>
              <w:t>HESA</w:t>
            </w:r>
            <w:bookmarkEnd w:id="59"/>
          </w:p>
        </w:tc>
        <w:tc>
          <w:tcPr>
            <w:tcW w:w="1441" w:type="dxa"/>
            <w:vAlign w:val="center"/>
          </w:tcPr>
          <w:p w14:paraId="23232C1C" w14:textId="22C6DB73" w:rsidR="00CA2176" w:rsidRPr="00B25D79" w:rsidRDefault="00CA2176" w:rsidP="00CA2176">
            <w:pPr>
              <w:pStyle w:val="Heading1"/>
              <w:outlineLvl w:val="0"/>
              <w:rPr>
                <w:rFonts w:ascii="Arial" w:eastAsiaTheme="minorEastAsia" w:hAnsi="Arial" w:cs="Arial"/>
                <w:smallCaps w:val="0"/>
                <w:spacing w:val="0"/>
                <w:sz w:val="20"/>
                <w:szCs w:val="22"/>
              </w:rPr>
            </w:pPr>
            <w:bookmarkStart w:id="60" w:name="_Toc42458162"/>
            <w:r>
              <w:rPr>
                <w:rFonts w:ascii="Arial" w:eastAsiaTheme="minorEastAsia" w:hAnsi="Arial" w:cs="Arial"/>
                <w:smallCaps w:val="0"/>
                <w:spacing w:val="0"/>
                <w:sz w:val="20"/>
                <w:szCs w:val="22"/>
              </w:rPr>
              <w:t>October</w:t>
            </w:r>
            <w:bookmarkEnd w:id="60"/>
          </w:p>
        </w:tc>
        <w:tc>
          <w:tcPr>
            <w:tcW w:w="3891" w:type="dxa"/>
            <w:vAlign w:val="center"/>
          </w:tcPr>
          <w:p w14:paraId="175FE6AC" w14:textId="3677F997" w:rsidR="00CA2176" w:rsidRPr="00B25D79" w:rsidRDefault="00CA2176" w:rsidP="00CA2176">
            <w:pPr>
              <w:pStyle w:val="Heading1"/>
              <w:outlineLvl w:val="0"/>
              <w:rPr>
                <w:rFonts w:ascii="Arial" w:eastAsiaTheme="minorEastAsia" w:hAnsi="Arial" w:cs="Arial"/>
                <w:smallCaps w:val="0"/>
                <w:spacing w:val="0"/>
                <w:sz w:val="20"/>
                <w:szCs w:val="22"/>
              </w:rPr>
            </w:pPr>
            <w:bookmarkStart w:id="61" w:name="_Toc42458163"/>
            <w:r>
              <w:rPr>
                <w:rFonts w:ascii="Arial" w:eastAsiaTheme="minorEastAsia" w:hAnsi="Arial" w:cs="Arial"/>
                <w:smallCaps w:val="0"/>
                <w:spacing w:val="0"/>
                <w:sz w:val="20"/>
                <w:szCs w:val="22"/>
              </w:rPr>
              <w:t>Data Quality Team</w:t>
            </w:r>
            <w:bookmarkEnd w:id="61"/>
          </w:p>
        </w:tc>
      </w:tr>
      <w:tr w:rsidR="00CA2176" w14:paraId="7EEDDE03" w14:textId="77777777" w:rsidTr="00DB46D9">
        <w:tc>
          <w:tcPr>
            <w:tcW w:w="2632" w:type="dxa"/>
            <w:vAlign w:val="center"/>
          </w:tcPr>
          <w:p w14:paraId="20EDFD79" w14:textId="17C50D7C" w:rsidR="00CA2176" w:rsidRPr="00B25D79" w:rsidRDefault="00CA2176" w:rsidP="00CA2176">
            <w:pPr>
              <w:pStyle w:val="Heading1"/>
              <w:outlineLvl w:val="0"/>
              <w:rPr>
                <w:rFonts w:ascii="Arial" w:eastAsiaTheme="minorEastAsia" w:hAnsi="Arial" w:cs="Arial"/>
                <w:smallCaps w:val="0"/>
                <w:spacing w:val="0"/>
                <w:sz w:val="20"/>
                <w:szCs w:val="22"/>
              </w:rPr>
            </w:pPr>
            <w:bookmarkStart w:id="62" w:name="_Toc42458164"/>
            <w:r>
              <w:rPr>
                <w:rFonts w:ascii="Arial" w:eastAsiaTheme="minorEastAsia" w:hAnsi="Arial" w:cs="Arial"/>
                <w:smallCaps w:val="0"/>
                <w:spacing w:val="0"/>
                <w:sz w:val="20"/>
                <w:szCs w:val="22"/>
              </w:rPr>
              <w:t>HESA Aggregate Offshore</w:t>
            </w:r>
            <w:bookmarkEnd w:id="62"/>
          </w:p>
        </w:tc>
        <w:tc>
          <w:tcPr>
            <w:tcW w:w="1670" w:type="dxa"/>
            <w:vAlign w:val="center"/>
          </w:tcPr>
          <w:p w14:paraId="6521C52D" w14:textId="1881943B" w:rsidR="00CA2176" w:rsidRPr="00B25D79" w:rsidRDefault="00CA2176" w:rsidP="00CA2176">
            <w:pPr>
              <w:pStyle w:val="Heading1"/>
              <w:outlineLvl w:val="0"/>
              <w:rPr>
                <w:rFonts w:ascii="Arial" w:eastAsiaTheme="minorEastAsia" w:hAnsi="Arial" w:cs="Arial"/>
                <w:smallCaps w:val="0"/>
                <w:spacing w:val="0"/>
                <w:sz w:val="20"/>
                <w:szCs w:val="22"/>
              </w:rPr>
            </w:pPr>
            <w:bookmarkStart w:id="63" w:name="_Toc42458165"/>
            <w:r>
              <w:rPr>
                <w:rFonts w:ascii="Arial" w:eastAsiaTheme="minorEastAsia" w:hAnsi="Arial" w:cs="Arial"/>
                <w:smallCaps w:val="0"/>
                <w:spacing w:val="0"/>
                <w:sz w:val="20"/>
                <w:szCs w:val="22"/>
              </w:rPr>
              <w:t>HESA</w:t>
            </w:r>
            <w:bookmarkEnd w:id="63"/>
          </w:p>
        </w:tc>
        <w:tc>
          <w:tcPr>
            <w:tcW w:w="1441" w:type="dxa"/>
            <w:vAlign w:val="center"/>
          </w:tcPr>
          <w:p w14:paraId="5B962E5B" w14:textId="7243692A" w:rsidR="00CA2176" w:rsidRPr="00B25D79" w:rsidRDefault="00CA2176" w:rsidP="00CA2176">
            <w:pPr>
              <w:pStyle w:val="Heading1"/>
              <w:outlineLvl w:val="0"/>
              <w:rPr>
                <w:rFonts w:ascii="Arial" w:eastAsiaTheme="minorEastAsia" w:hAnsi="Arial" w:cs="Arial"/>
                <w:smallCaps w:val="0"/>
                <w:spacing w:val="0"/>
                <w:sz w:val="20"/>
                <w:szCs w:val="22"/>
              </w:rPr>
            </w:pPr>
            <w:bookmarkStart w:id="64" w:name="_Toc42458166"/>
            <w:r>
              <w:rPr>
                <w:rFonts w:ascii="Arial" w:eastAsiaTheme="minorEastAsia" w:hAnsi="Arial" w:cs="Arial"/>
                <w:smallCaps w:val="0"/>
                <w:spacing w:val="0"/>
                <w:sz w:val="20"/>
                <w:szCs w:val="22"/>
              </w:rPr>
              <w:t>November</w:t>
            </w:r>
            <w:bookmarkEnd w:id="64"/>
          </w:p>
        </w:tc>
        <w:tc>
          <w:tcPr>
            <w:tcW w:w="3891" w:type="dxa"/>
            <w:vAlign w:val="center"/>
          </w:tcPr>
          <w:p w14:paraId="2B7D3F30" w14:textId="76C35D97" w:rsidR="00CA2176" w:rsidRPr="00B25D79" w:rsidRDefault="00CA2176" w:rsidP="00CA2176">
            <w:pPr>
              <w:pStyle w:val="Heading1"/>
              <w:outlineLvl w:val="0"/>
              <w:rPr>
                <w:rFonts w:ascii="Arial" w:eastAsiaTheme="minorEastAsia" w:hAnsi="Arial" w:cs="Arial"/>
                <w:smallCaps w:val="0"/>
                <w:spacing w:val="0"/>
                <w:sz w:val="20"/>
                <w:szCs w:val="22"/>
              </w:rPr>
            </w:pPr>
            <w:bookmarkStart w:id="65" w:name="_Toc42458167"/>
            <w:r>
              <w:rPr>
                <w:rFonts w:ascii="Arial" w:eastAsiaTheme="minorEastAsia" w:hAnsi="Arial" w:cs="Arial"/>
                <w:smallCaps w:val="0"/>
                <w:spacing w:val="0"/>
                <w:sz w:val="20"/>
                <w:szCs w:val="22"/>
              </w:rPr>
              <w:t>Data Quality Team</w:t>
            </w:r>
            <w:bookmarkEnd w:id="65"/>
          </w:p>
        </w:tc>
      </w:tr>
      <w:tr w:rsidR="00CA2176" w14:paraId="03BB675F" w14:textId="77777777" w:rsidTr="00DB46D9">
        <w:trPr>
          <w:trHeight w:val="151"/>
        </w:trPr>
        <w:tc>
          <w:tcPr>
            <w:tcW w:w="2632" w:type="dxa"/>
            <w:vAlign w:val="center"/>
          </w:tcPr>
          <w:p w14:paraId="73F050E6" w14:textId="33B515F5" w:rsidR="00CA2176" w:rsidRPr="00B25D79" w:rsidRDefault="00CA2176" w:rsidP="00CA2176">
            <w:pPr>
              <w:pStyle w:val="Heading1"/>
              <w:outlineLvl w:val="0"/>
              <w:rPr>
                <w:rFonts w:ascii="Arial" w:eastAsiaTheme="minorEastAsia" w:hAnsi="Arial" w:cs="Arial"/>
                <w:smallCaps w:val="0"/>
                <w:spacing w:val="0"/>
                <w:sz w:val="20"/>
                <w:szCs w:val="22"/>
              </w:rPr>
            </w:pPr>
            <w:bookmarkStart w:id="66" w:name="_Toc42458168"/>
            <w:r>
              <w:rPr>
                <w:rFonts w:ascii="Arial" w:eastAsiaTheme="minorEastAsia" w:hAnsi="Arial" w:cs="Arial"/>
                <w:smallCaps w:val="0"/>
                <w:spacing w:val="0"/>
                <w:sz w:val="20"/>
                <w:szCs w:val="22"/>
              </w:rPr>
              <w:t>HESA Unistats</w:t>
            </w:r>
            <w:bookmarkEnd w:id="66"/>
          </w:p>
        </w:tc>
        <w:tc>
          <w:tcPr>
            <w:tcW w:w="1670" w:type="dxa"/>
            <w:vAlign w:val="center"/>
          </w:tcPr>
          <w:p w14:paraId="655C8249" w14:textId="77B6DB5E" w:rsidR="00CA2176" w:rsidRPr="00B25D79" w:rsidRDefault="00CA2176" w:rsidP="00CA2176">
            <w:pPr>
              <w:pStyle w:val="Heading1"/>
              <w:outlineLvl w:val="0"/>
              <w:rPr>
                <w:rFonts w:ascii="Arial" w:eastAsiaTheme="minorEastAsia" w:hAnsi="Arial" w:cs="Arial"/>
                <w:smallCaps w:val="0"/>
                <w:spacing w:val="0"/>
                <w:sz w:val="20"/>
                <w:szCs w:val="22"/>
              </w:rPr>
            </w:pPr>
            <w:bookmarkStart w:id="67" w:name="_Toc42458169"/>
            <w:r>
              <w:rPr>
                <w:rFonts w:ascii="Arial" w:eastAsiaTheme="minorEastAsia" w:hAnsi="Arial" w:cs="Arial"/>
                <w:smallCaps w:val="0"/>
                <w:spacing w:val="0"/>
                <w:sz w:val="20"/>
                <w:szCs w:val="22"/>
              </w:rPr>
              <w:t>HESA</w:t>
            </w:r>
            <w:bookmarkEnd w:id="67"/>
          </w:p>
        </w:tc>
        <w:tc>
          <w:tcPr>
            <w:tcW w:w="1441" w:type="dxa"/>
            <w:vAlign w:val="center"/>
          </w:tcPr>
          <w:p w14:paraId="28FF18BE" w14:textId="4881E83A" w:rsidR="00CA2176" w:rsidRPr="00B25D79" w:rsidRDefault="00CA2176" w:rsidP="00CA2176">
            <w:pPr>
              <w:pStyle w:val="Heading1"/>
              <w:outlineLvl w:val="0"/>
              <w:rPr>
                <w:rFonts w:ascii="Arial" w:eastAsiaTheme="minorEastAsia" w:hAnsi="Arial" w:cs="Arial"/>
                <w:smallCaps w:val="0"/>
                <w:spacing w:val="0"/>
                <w:sz w:val="20"/>
                <w:szCs w:val="22"/>
              </w:rPr>
            </w:pPr>
            <w:bookmarkStart w:id="68" w:name="_Toc42458170"/>
            <w:r>
              <w:rPr>
                <w:rFonts w:ascii="Arial" w:eastAsiaTheme="minorEastAsia" w:hAnsi="Arial" w:cs="Arial"/>
                <w:smallCaps w:val="0"/>
                <w:spacing w:val="0"/>
                <w:sz w:val="20"/>
                <w:szCs w:val="22"/>
              </w:rPr>
              <w:t>July</w:t>
            </w:r>
            <w:bookmarkEnd w:id="68"/>
          </w:p>
        </w:tc>
        <w:tc>
          <w:tcPr>
            <w:tcW w:w="3891" w:type="dxa"/>
            <w:vAlign w:val="center"/>
          </w:tcPr>
          <w:p w14:paraId="5D64EBEA" w14:textId="49D41786" w:rsidR="00CA2176" w:rsidRPr="00B25D79" w:rsidRDefault="00CA2176" w:rsidP="00CA2176">
            <w:pPr>
              <w:pStyle w:val="Heading1"/>
              <w:outlineLvl w:val="0"/>
              <w:rPr>
                <w:rFonts w:ascii="Arial" w:eastAsiaTheme="minorEastAsia" w:hAnsi="Arial" w:cs="Arial"/>
                <w:smallCaps w:val="0"/>
                <w:spacing w:val="0"/>
                <w:sz w:val="20"/>
                <w:szCs w:val="22"/>
              </w:rPr>
            </w:pPr>
            <w:bookmarkStart w:id="69" w:name="_Toc42458171"/>
            <w:r>
              <w:rPr>
                <w:rFonts w:ascii="Arial" w:eastAsiaTheme="minorEastAsia" w:hAnsi="Arial" w:cs="Arial"/>
                <w:smallCaps w:val="0"/>
                <w:spacing w:val="0"/>
                <w:sz w:val="20"/>
                <w:szCs w:val="22"/>
              </w:rPr>
              <w:t>Data Quality Team</w:t>
            </w:r>
            <w:bookmarkEnd w:id="69"/>
          </w:p>
        </w:tc>
      </w:tr>
      <w:tr w:rsidR="00CA2176" w14:paraId="42798ED4" w14:textId="3CA98687" w:rsidTr="00DB46D9">
        <w:trPr>
          <w:trHeight w:val="151"/>
        </w:trPr>
        <w:tc>
          <w:tcPr>
            <w:tcW w:w="2632" w:type="dxa"/>
            <w:vAlign w:val="center"/>
          </w:tcPr>
          <w:p w14:paraId="7441C88A" w14:textId="7438DB88" w:rsidR="00CA2176" w:rsidRDefault="00CA2176" w:rsidP="00CA2176">
            <w:pPr>
              <w:pStyle w:val="Heading1"/>
              <w:outlineLvl w:val="0"/>
              <w:rPr>
                <w:rFonts w:ascii="Arial" w:hAnsi="Arial" w:cs="Arial"/>
                <w:smallCaps w:val="0"/>
                <w:spacing w:val="0"/>
                <w:sz w:val="20"/>
                <w:szCs w:val="22"/>
              </w:rPr>
            </w:pPr>
            <w:bookmarkStart w:id="70" w:name="_Toc42458172"/>
            <w:r>
              <w:rPr>
                <w:rFonts w:ascii="Arial" w:hAnsi="Arial" w:cs="Arial"/>
                <w:smallCaps w:val="0"/>
                <w:spacing w:val="0"/>
                <w:sz w:val="20"/>
                <w:szCs w:val="22"/>
              </w:rPr>
              <w:t>OfS Transparency Data</w:t>
            </w:r>
            <w:bookmarkEnd w:id="70"/>
          </w:p>
        </w:tc>
        <w:tc>
          <w:tcPr>
            <w:tcW w:w="1670" w:type="dxa"/>
            <w:vAlign w:val="center"/>
          </w:tcPr>
          <w:p w14:paraId="1AB74242" w14:textId="077C5F30" w:rsidR="00CA2176" w:rsidRPr="00B25D79" w:rsidRDefault="00CA2176" w:rsidP="00CA2176">
            <w:pPr>
              <w:pStyle w:val="Heading1"/>
              <w:outlineLvl w:val="0"/>
              <w:rPr>
                <w:rFonts w:ascii="Arial" w:hAnsi="Arial" w:cs="Arial"/>
                <w:smallCaps w:val="0"/>
                <w:spacing w:val="0"/>
                <w:sz w:val="20"/>
                <w:szCs w:val="22"/>
              </w:rPr>
            </w:pPr>
            <w:bookmarkStart w:id="71" w:name="_Toc42458173"/>
            <w:r>
              <w:rPr>
                <w:rFonts w:ascii="Arial" w:hAnsi="Arial" w:cs="Arial"/>
                <w:smallCaps w:val="0"/>
                <w:spacing w:val="0"/>
                <w:sz w:val="20"/>
                <w:szCs w:val="22"/>
              </w:rPr>
              <w:t>Office for Students</w:t>
            </w:r>
            <w:bookmarkEnd w:id="71"/>
          </w:p>
        </w:tc>
        <w:tc>
          <w:tcPr>
            <w:tcW w:w="1441" w:type="dxa"/>
            <w:vAlign w:val="center"/>
          </w:tcPr>
          <w:p w14:paraId="037595A7" w14:textId="53C9F8C5" w:rsidR="00CA2176" w:rsidRPr="00B25D79" w:rsidRDefault="00CA2176" w:rsidP="00CA2176">
            <w:pPr>
              <w:pStyle w:val="Heading1"/>
              <w:outlineLvl w:val="0"/>
              <w:rPr>
                <w:rFonts w:ascii="Arial" w:hAnsi="Arial" w:cs="Arial"/>
                <w:smallCaps w:val="0"/>
                <w:spacing w:val="0"/>
                <w:sz w:val="20"/>
                <w:szCs w:val="22"/>
              </w:rPr>
            </w:pPr>
            <w:bookmarkStart w:id="72" w:name="_Toc42458174"/>
            <w:r>
              <w:rPr>
                <w:rFonts w:ascii="Arial" w:hAnsi="Arial" w:cs="Arial"/>
                <w:smallCaps w:val="0"/>
                <w:spacing w:val="0"/>
                <w:sz w:val="20"/>
                <w:szCs w:val="22"/>
              </w:rPr>
              <w:t>N/A – suspended for 2020</w:t>
            </w:r>
            <w:bookmarkEnd w:id="72"/>
            <w:r w:rsidR="007B0990">
              <w:rPr>
                <w:rFonts w:ascii="Arial" w:hAnsi="Arial" w:cs="Arial"/>
                <w:smallCaps w:val="0"/>
                <w:spacing w:val="0"/>
                <w:sz w:val="20"/>
                <w:szCs w:val="22"/>
              </w:rPr>
              <w:t xml:space="preserve"> and 2021</w:t>
            </w:r>
          </w:p>
        </w:tc>
        <w:tc>
          <w:tcPr>
            <w:tcW w:w="3891" w:type="dxa"/>
            <w:vAlign w:val="center"/>
          </w:tcPr>
          <w:p w14:paraId="140B0B87" w14:textId="7BAE6C59" w:rsidR="00CA2176" w:rsidRDefault="00CA2176" w:rsidP="00CA2176">
            <w:pPr>
              <w:pStyle w:val="Heading1"/>
              <w:outlineLvl w:val="0"/>
              <w:rPr>
                <w:rFonts w:ascii="Arial" w:hAnsi="Arial" w:cs="Arial"/>
                <w:smallCaps w:val="0"/>
                <w:spacing w:val="0"/>
                <w:sz w:val="20"/>
                <w:szCs w:val="22"/>
              </w:rPr>
            </w:pPr>
            <w:bookmarkStart w:id="73" w:name="_Toc42458175"/>
            <w:r>
              <w:rPr>
                <w:rFonts w:ascii="Arial" w:hAnsi="Arial" w:cs="Arial"/>
                <w:smallCaps w:val="0"/>
                <w:spacing w:val="0"/>
                <w:sz w:val="20"/>
                <w:szCs w:val="22"/>
              </w:rPr>
              <w:t>Undergraduate Admissions</w:t>
            </w:r>
            <w:bookmarkEnd w:id="73"/>
            <w:r>
              <w:rPr>
                <w:rFonts w:ascii="Arial" w:hAnsi="Arial" w:cs="Arial"/>
                <w:smallCaps w:val="0"/>
                <w:spacing w:val="0"/>
                <w:sz w:val="20"/>
                <w:szCs w:val="22"/>
              </w:rPr>
              <w:t xml:space="preserve"> </w:t>
            </w:r>
          </w:p>
          <w:p w14:paraId="50FAD992" w14:textId="50CF52D5" w:rsidR="00CA2176" w:rsidRPr="00B25D79" w:rsidRDefault="00CA2176" w:rsidP="00CA2176">
            <w:pPr>
              <w:pStyle w:val="Heading1"/>
              <w:outlineLvl w:val="0"/>
              <w:rPr>
                <w:rFonts w:ascii="Arial" w:hAnsi="Arial" w:cs="Arial"/>
                <w:smallCaps w:val="0"/>
                <w:spacing w:val="0"/>
                <w:sz w:val="20"/>
                <w:szCs w:val="22"/>
              </w:rPr>
            </w:pPr>
            <w:bookmarkStart w:id="74" w:name="_Toc42458176"/>
            <w:r w:rsidRPr="00CA2176">
              <w:rPr>
                <w:rFonts w:ascii="Arial" w:hAnsi="Arial" w:cs="Arial"/>
                <w:smallCaps w:val="0"/>
                <w:spacing w:val="0"/>
                <w:sz w:val="20"/>
                <w:szCs w:val="22"/>
              </w:rPr>
              <w:t>Student Data Management and Analysis</w:t>
            </w:r>
            <w:bookmarkEnd w:id="74"/>
          </w:p>
        </w:tc>
      </w:tr>
      <w:tr w:rsidR="00CA2176" w14:paraId="2943D912" w14:textId="77777777" w:rsidTr="00DB46D9">
        <w:trPr>
          <w:trHeight w:val="151"/>
        </w:trPr>
        <w:tc>
          <w:tcPr>
            <w:tcW w:w="2632" w:type="dxa"/>
            <w:vAlign w:val="center"/>
          </w:tcPr>
          <w:p w14:paraId="1FF0C50B" w14:textId="2317EC6E" w:rsidR="00CA2176" w:rsidRDefault="00CA2176" w:rsidP="00CA2176">
            <w:pPr>
              <w:pStyle w:val="Heading1"/>
              <w:outlineLvl w:val="0"/>
              <w:rPr>
                <w:rFonts w:ascii="Arial" w:hAnsi="Arial" w:cs="Arial"/>
                <w:smallCaps w:val="0"/>
                <w:spacing w:val="0"/>
                <w:sz w:val="20"/>
                <w:szCs w:val="22"/>
              </w:rPr>
            </w:pPr>
            <w:bookmarkStart w:id="75" w:name="_Toc42458177"/>
            <w:r>
              <w:rPr>
                <w:rFonts w:ascii="Arial" w:hAnsi="Arial" w:cs="Arial"/>
                <w:smallCaps w:val="0"/>
                <w:spacing w:val="0"/>
                <w:sz w:val="20"/>
                <w:szCs w:val="22"/>
              </w:rPr>
              <w:t>Financial Monitoring of Access and Participation activity</w:t>
            </w:r>
            <w:bookmarkEnd w:id="75"/>
          </w:p>
        </w:tc>
        <w:tc>
          <w:tcPr>
            <w:tcW w:w="1670" w:type="dxa"/>
            <w:vAlign w:val="center"/>
          </w:tcPr>
          <w:p w14:paraId="72C3F0D7" w14:textId="14E9737A" w:rsidR="00CA2176" w:rsidRDefault="00CA2176" w:rsidP="00CA2176">
            <w:pPr>
              <w:pStyle w:val="Heading1"/>
              <w:outlineLvl w:val="0"/>
              <w:rPr>
                <w:rFonts w:ascii="Arial" w:hAnsi="Arial" w:cs="Arial"/>
                <w:smallCaps w:val="0"/>
                <w:spacing w:val="0"/>
                <w:sz w:val="20"/>
                <w:szCs w:val="22"/>
              </w:rPr>
            </w:pPr>
            <w:bookmarkStart w:id="76" w:name="_Toc42458178"/>
            <w:r>
              <w:rPr>
                <w:rFonts w:ascii="Arial" w:hAnsi="Arial" w:cs="Arial"/>
                <w:smallCaps w:val="0"/>
                <w:spacing w:val="0"/>
                <w:sz w:val="20"/>
                <w:szCs w:val="22"/>
              </w:rPr>
              <w:t>Office for Students</w:t>
            </w:r>
            <w:bookmarkEnd w:id="76"/>
          </w:p>
        </w:tc>
        <w:tc>
          <w:tcPr>
            <w:tcW w:w="1441" w:type="dxa"/>
            <w:vAlign w:val="center"/>
          </w:tcPr>
          <w:p w14:paraId="61FB4AA2" w14:textId="4954E15B" w:rsidR="00CA2176" w:rsidRPr="00B25D79" w:rsidRDefault="00CA2176" w:rsidP="00CA2176">
            <w:pPr>
              <w:pStyle w:val="Heading1"/>
              <w:outlineLvl w:val="0"/>
              <w:rPr>
                <w:rFonts w:ascii="Arial" w:hAnsi="Arial" w:cs="Arial"/>
                <w:smallCaps w:val="0"/>
                <w:spacing w:val="0"/>
                <w:sz w:val="20"/>
                <w:szCs w:val="22"/>
              </w:rPr>
            </w:pPr>
            <w:bookmarkStart w:id="77" w:name="_Toc42458179"/>
            <w:r>
              <w:rPr>
                <w:rFonts w:ascii="Arial" w:hAnsi="Arial" w:cs="Arial"/>
                <w:smallCaps w:val="0"/>
                <w:spacing w:val="0"/>
                <w:sz w:val="20"/>
                <w:szCs w:val="22"/>
              </w:rPr>
              <w:t>January</w:t>
            </w:r>
            <w:bookmarkEnd w:id="77"/>
          </w:p>
        </w:tc>
        <w:tc>
          <w:tcPr>
            <w:tcW w:w="3891" w:type="dxa"/>
            <w:vAlign w:val="center"/>
          </w:tcPr>
          <w:p w14:paraId="4A79E577" w14:textId="77777777" w:rsidR="00CA2176" w:rsidRDefault="00CA2176" w:rsidP="00CA2176">
            <w:pPr>
              <w:pStyle w:val="Heading1"/>
              <w:outlineLvl w:val="0"/>
              <w:rPr>
                <w:rFonts w:ascii="Arial" w:hAnsi="Arial" w:cs="Arial"/>
                <w:smallCaps w:val="0"/>
                <w:spacing w:val="0"/>
                <w:sz w:val="20"/>
                <w:szCs w:val="22"/>
              </w:rPr>
            </w:pPr>
            <w:bookmarkStart w:id="78" w:name="_Toc42458180"/>
            <w:r>
              <w:rPr>
                <w:rFonts w:ascii="Arial" w:hAnsi="Arial" w:cs="Arial"/>
                <w:smallCaps w:val="0"/>
                <w:spacing w:val="0"/>
                <w:sz w:val="20"/>
                <w:szCs w:val="22"/>
              </w:rPr>
              <w:t>Undergraduate Admissions</w:t>
            </w:r>
            <w:bookmarkEnd w:id="78"/>
            <w:r>
              <w:rPr>
                <w:rFonts w:ascii="Arial" w:hAnsi="Arial" w:cs="Arial"/>
                <w:smallCaps w:val="0"/>
                <w:spacing w:val="0"/>
                <w:sz w:val="20"/>
                <w:szCs w:val="22"/>
              </w:rPr>
              <w:t xml:space="preserve"> </w:t>
            </w:r>
          </w:p>
          <w:p w14:paraId="006B23AA" w14:textId="4164F5B9" w:rsidR="00CA2176" w:rsidRPr="00B25D79" w:rsidRDefault="00CA2176" w:rsidP="00CA2176">
            <w:pPr>
              <w:pStyle w:val="Heading1"/>
              <w:outlineLvl w:val="0"/>
              <w:rPr>
                <w:rFonts w:ascii="Arial" w:hAnsi="Arial" w:cs="Arial"/>
                <w:smallCaps w:val="0"/>
                <w:spacing w:val="0"/>
                <w:sz w:val="20"/>
                <w:szCs w:val="22"/>
              </w:rPr>
            </w:pPr>
            <w:bookmarkStart w:id="79" w:name="_Toc42458181"/>
            <w:r w:rsidRPr="00CA2176">
              <w:rPr>
                <w:rFonts w:ascii="Arial" w:hAnsi="Arial" w:cs="Arial"/>
                <w:smallCaps w:val="0"/>
                <w:spacing w:val="0"/>
                <w:sz w:val="20"/>
                <w:szCs w:val="22"/>
              </w:rPr>
              <w:t>Student Data Management and Analysis</w:t>
            </w:r>
            <w:bookmarkEnd w:id="79"/>
          </w:p>
        </w:tc>
      </w:tr>
    </w:tbl>
    <w:p w14:paraId="05AFEF68" w14:textId="77777777" w:rsidR="00B25D79" w:rsidRDefault="00B25D79" w:rsidP="0085057B">
      <w:pPr>
        <w:pStyle w:val="Heading1"/>
      </w:pPr>
    </w:p>
    <w:p w14:paraId="43DFAAB9" w14:textId="63535C58" w:rsidR="00B25D79" w:rsidRPr="00B25D79" w:rsidRDefault="00B25D79" w:rsidP="00B25D79">
      <w:pPr>
        <w:tabs>
          <w:tab w:val="left" w:pos="426"/>
        </w:tabs>
        <w:spacing w:after="0"/>
        <w:rPr>
          <w:rFonts w:ascii="Arial" w:hAnsi="Arial" w:cs="Arial"/>
          <w:szCs w:val="22"/>
        </w:rPr>
        <w:sectPr w:rsidR="00B25D79" w:rsidRPr="00B25D79" w:rsidSect="00B25D79">
          <w:pgSz w:w="11907" w:h="16839" w:code="9"/>
          <w:pgMar w:top="1440" w:right="1440" w:bottom="1440" w:left="1440" w:header="708" w:footer="708" w:gutter="0"/>
          <w:cols w:space="708"/>
          <w:docGrid w:linePitch="360"/>
        </w:sectPr>
      </w:pPr>
      <w:bookmarkStart w:id="80" w:name="_GoBack"/>
      <w:bookmarkEnd w:id="80"/>
    </w:p>
    <w:p w14:paraId="364BD473" w14:textId="59515B05" w:rsidR="0085057B" w:rsidRDefault="0085057B" w:rsidP="0085057B">
      <w:pPr>
        <w:pStyle w:val="Heading1"/>
        <w:rPr>
          <w:smallCaps w:val="0"/>
        </w:rPr>
      </w:pPr>
    </w:p>
    <w:p w14:paraId="4C6A23DB" w14:textId="09261E04" w:rsidR="004E53C1" w:rsidRPr="00987BC4" w:rsidRDefault="004E53C1" w:rsidP="004E53C1">
      <w:pPr>
        <w:pStyle w:val="Heading1"/>
      </w:pPr>
      <w:bookmarkStart w:id="81" w:name="_Toc42458182"/>
      <w:r w:rsidRPr="00987BC4">
        <w:t>A</w:t>
      </w:r>
      <w:r w:rsidR="00B37DE0">
        <w:t>ppendix</w:t>
      </w:r>
      <w:r w:rsidR="00CA2176">
        <w:t xml:space="preserve"> 2</w:t>
      </w:r>
      <w:r w:rsidRPr="00987BC4">
        <w:t>: Glossary</w:t>
      </w:r>
      <w:r w:rsidRPr="003709EE">
        <w:rPr>
          <w:rStyle w:val="FootnoteReference"/>
        </w:rPr>
        <w:footnoteReference w:id="4"/>
      </w:r>
      <w:bookmarkEnd w:id="81"/>
    </w:p>
    <w:tbl>
      <w:tblPr>
        <w:tblStyle w:val="TableGrid"/>
        <w:tblW w:w="9120" w:type="dxa"/>
        <w:tblLook w:val="04A0" w:firstRow="1" w:lastRow="0" w:firstColumn="1" w:lastColumn="0" w:noHBand="0" w:noVBand="1"/>
      </w:tblPr>
      <w:tblGrid>
        <w:gridCol w:w="2289"/>
        <w:gridCol w:w="6831"/>
      </w:tblGrid>
      <w:tr w:rsidR="004E53C1" w14:paraId="42E4C6DD" w14:textId="77777777" w:rsidTr="00B37DE0">
        <w:trPr>
          <w:trHeight w:val="261"/>
        </w:trPr>
        <w:tc>
          <w:tcPr>
            <w:tcW w:w="2289" w:type="dxa"/>
          </w:tcPr>
          <w:p w14:paraId="1EEE5E5B" w14:textId="77777777" w:rsidR="004E53C1" w:rsidRPr="00B93AA7" w:rsidRDefault="004E53C1" w:rsidP="003F248F">
            <w:pPr>
              <w:spacing w:line="276" w:lineRule="auto"/>
              <w:rPr>
                <w:rFonts w:ascii="Arial" w:hAnsi="Arial" w:cs="Arial"/>
                <w:sz w:val="20"/>
              </w:rPr>
            </w:pPr>
            <w:r>
              <w:rPr>
                <w:rFonts w:ascii="Arial" w:hAnsi="Arial" w:cs="Arial"/>
                <w:sz w:val="20"/>
              </w:rPr>
              <w:t>asset</w:t>
            </w:r>
          </w:p>
        </w:tc>
        <w:tc>
          <w:tcPr>
            <w:tcW w:w="6831" w:type="dxa"/>
          </w:tcPr>
          <w:p w14:paraId="39A67BB6" w14:textId="77777777" w:rsidR="004E53C1" w:rsidRPr="00093A3A" w:rsidRDefault="004E53C1" w:rsidP="003F248F">
            <w:pPr>
              <w:spacing w:line="276" w:lineRule="auto"/>
              <w:rPr>
                <w:rFonts w:ascii="Arial" w:hAnsi="Arial" w:cs="Arial"/>
                <w:sz w:val="20"/>
              </w:rPr>
            </w:pPr>
            <w:r w:rsidRPr="00093A3A">
              <w:rPr>
                <w:rFonts w:ascii="Arial" w:hAnsi="Arial" w:cs="Arial"/>
                <w:sz w:val="20"/>
              </w:rPr>
              <w:t xml:space="preserve">item, thing or entity that has potential or actual value to an </w:t>
            </w:r>
            <w:r>
              <w:rPr>
                <w:rFonts w:ascii="Arial" w:hAnsi="Arial" w:cs="Arial"/>
                <w:sz w:val="20"/>
              </w:rPr>
              <w:t>organisation</w:t>
            </w:r>
          </w:p>
        </w:tc>
      </w:tr>
      <w:tr w:rsidR="004E53C1" w14:paraId="1211D87D" w14:textId="77777777" w:rsidTr="00B37DE0">
        <w:trPr>
          <w:trHeight w:val="276"/>
        </w:trPr>
        <w:tc>
          <w:tcPr>
            <w:tcW w:w="2289" w:type="dxa"/>
          </w:tcPr>
          <w:p w14:paraId="5DADECA4" w14:textId="77777777" w:rsidR="004E53C1" w:rsidRPr="00B93AA7" w:rsidRDefault="004E53C1" w:rsidP="003F248F">
            <w:pPr>
              <w:spacing w:line="276" w:lineRule="auto"/>
              <w:rPr>
                <w:rFonts w:ascii="Arial" w:hAnsi="Arial" w:cs="Arial"/>
              </w:rPr>
            </w:pPr>
            <w:r w:rsidRPr="00093A3A">
              <w:rPr>
                <w:rFonts w:ascii="Arial" w:hAnsi="Arial" w:cs="Arial"/>
                <w:sz w:val="20"/>
              </w:rPr>
              <w:t>data</w:t>
            </w:r>
          </w:p>
        </w:tc>
        <w:tc>
          <w:tcPr>
            <w:tcW w:w="6831" w:type="dxa"/>
          </w:tcPr>
          <w:p w14:paraId="745C400B" w14:textId="77777777" w:rsidR="004E53C1" w:rsidRPr="00E625D7" w:rsidRDefault="004E53C1" w:rsidP="003F248F">
            <w:pPr>
              <w:spacing w:line="276" w:lineRule="auto"/>
              <w:rPr>
                <w:rFonts w:ascii="Arial" w:hAnsi="Arial" w:cs="Arial"/>
                <w:sz w:val="20"/>
              </w:rPr>
            </w:pPr>
            <w:r w:rsidRPr="00E625D7">
              <w:rPr>
                <w:rFonts w:ascii="Arial" w:hAnsi="Arial" w:cs="Arial"/>
                <w:sz w:val="20"/>
              </w:rPr>
              <w:t>facts about an object</w:t>
            </w:r>
          </w:p>
        </w:tc>
      </w:tr>
      <w:tr w:rsidR="004E53C1" w14:paraId="70DA3D7D" w14:textId="77777777" w:rsidTr="00B37DE0">
        <w:trPr>
          <w:trHeight w:val="261"/>
        </w:trPr>
        <w:tc>
          <w:tcPr>
            <w:tcW w:w="2289" w:type="dxa"/>
          </w:tcPr>
          <w:p w14:paraId="51AAFBDD" w14:textId="77777777" w:rsidR="004E53C1" w:rsidRPr="001F6A81" w:rsidRDefault="004E53C1" w:rsidP="003F248F">
            <w:pPr>
              <w:spacing w:line="276" w:lineRule="auto"/>
              <w:rPr>
                <w:rFonts w:ascii="Arial" w:hAnsi="Arial" w:cs="Arial"/>
                <w:sz w:val="20"/>
              </w:rPr>
            </w:pPr>
            <w:r w:rsidRPr="001F6A81">
              <w:rPr>
                <w:rFonts w:ascii="Arial" w:hAnsi="Arial" w:cs="Arial"/>
                <w:sz w:val="20"/>
              </w:rPr>
              <w:t>data quality</w:t>
            </w:r>
          </w:p>
        </w:tc>
        <w:tc>
          <w:tcPr>
            <w:tcW w:w="6831" w:type="dxa"/>
          </w:tcPr>
          <w:p w14:paraId="278D3FED" w14:textId="77777777" w:rsidR="004E53C1" w:rsidRPr="001F6A81" w:rsidRDefault="004E53C1" w:rsidP="003F248F">
            <w:pPr>
              <w:spacing w:line="276" w:lineRule="auto"/>
              <w:rPr>
                <w:rFonts w:ascii="Arial" w:hAnsi="Arial" w:cs="Arial"/>
                <w:sz w:val="20"/>
              </w:rPr>
            </w:pPr>
            <w:r w:rsidRPr="001F6A81">
              <w:rPr>
                <w:rFonts w:ascii="Arial" w:hAnsi="Arial" w:cs="Arial"/>
                <w:sz w:val="20"/>
              </w:rPr>
              <w:t>accuracy, completeness, validity and currency of the data</w:t>
            </w:r>
          </w:p>
        </w:tc>
      </w:tr>
      <w:tr w:rsidR="004E53C1" w14:paraId="3B459709" w14:textId="77777777" w:rsidTr="00B37DE0">
        <w:trPr>
          <w:trHeight w:val="261"/>
        </w:trPr>
        <w:tc>
          <w:tcPr>
            <w:tcW w:w="2289" w:type="dxa"/>
          </w:tcPr>
          <w:p w14:paraId="7F75CECE" w14:textId="77777777" w:rsidR="004E53C1" w:rsidRPr="00A44E2D" w:rsidRDefault="004E53C1" w:rsidP="003F248F">
            <w:pPr>
              <w:spacing w:line="276" w:lineRule="auto"/>
              <w:rPr>
                <w:rFonts w:ascii="Arial" w:hAnsi="Arial" w:cs="Arial"/>
                <w:sz w:val="20"/>
              </w:rPr>
            </w:pPr>
            <w:r w:rsidRPr="00A44E2D">
              <w:rPr>
                <w:rFonts w:ascii="Arial" w:hAnsi="Arial" w:cs="Arial"/>
                <w:sz w:val="20"/>
              </w:rPr>
              <w:t>dataset</w:t>
            </w:r>
          </w:p>
        </w:tc>
        <w:tc>
          <w:tcPr>
            <w:tcW w:w="6831" w:type="dxa"/>
          </w:tcPr>
          <w:p w14:paraId="658BB257" w14:textId="77777777" w:rsidR="004E53C1" w:rsidRPr="00A44E2D" w:rsidRDefault="004E53C1" w:rsidP="003F248F">
            <w:pPr>
              <w:spacing w:line="276" w:lineRule="auto"/>
              <w:rPr>
                <w:rFonts w:ascii="Arial" w:hAnsi="Arial" w:cs="Arial"/>
                <w:sz w:val="20"/>
              </w:rPr>
            </w:pPr>
            <w:r>
              <w:rPr>
                <w:rFonts w:ascii="Arial" w:hAnsi="Arial" w:cs="Arial"/>
                <w:sz w:val="20"/>
              </w:rPr>
              <w:t>i</w:t>
            </w:r>
            <w:r w:rsidRPr="00A44E2D">
              <w:rPr>
                <w:rFonts w:ascii="Arial" w:hAnsi="Arial" w:cs="Arial"/>
                <w:sz w:val="20"/>
              </w:rPr>
              <w:t>dentifiable collection of data</w:t>
            </w:r>
          </w:p>
        </w:tc>
      </w:tr>
      <w:tr w:rsidR="004E53C1" w14:paraId="5A70DC5A" w14:textId="77777777" w:rsidTr="00B37DE0">
        <w:trPr>
          <w:trHeight w:val="261"/>
        </w:trPr>
        <w:tc>
          <w:tcPr>
            <w:tcW w:w="2289" w:type="dxa"/>
          </w:tcPr>
          <w:p w14:paraId="67B435DE" w14:textId="77777777" w:rsidR="004E53C1" w:rsidRPr="00B93AA7" w:rsidRDefault="004E53C1" w:rsidP="003F248F">
            <w:pPr>
              <w:spacing w:line="276" w:lineRule="auto"/>
              <w:rPr>
                <w:rFonts w:ascii="Arial" w:hAnsi="Arial" w:cs="Arial"/>
                <w:sz w:val="20"/>
              </w:rPr>
            </w:pPr>
            <w:r w:rsidRPr="00B93AA7">
              <w:rPr>
                <w:rFonts w:ascii="Arial" w:hAnsi="Arial" w:cs="Arial"/>
                <w:sz w:val="20"/>
              </w:rPr>
              <w:t>information</w:t>
            </w:r>
          </w:p>
        </w:tc>
        <w:tc>
          <w:tcPr>
            <w:tcW w:w="6831" w:type="dxa"/>
          </w:tcPr>
          <w:p w14:paraId="07837D76" w14:textId="77777777" w:rsidR="004E53C1" w:rsidRPr="00E625D7" w:rsidRDefault="004E53C1" w:rsidP="003F248F">
            <w:pPr>
              <w:spacing w:line="276" w:lineRule="auto"/>
              <w:rPr>
                <w:rFonts w:ascii="Arial" w:hAnsi="Arial" w:cs="Arial"/>
                <w:sz w:val="20"/>
              </w:rPr>
            </w:pPr>
            <w:r w:rsidRPr="00E625D7">
              <w:rPr>
                <w:rFonts w:ascii="Arial" w:hAnsi="Arial" w:cs="Arial"/>
                <w:sz w:val="20"/>
              </w:rPr>
              <w:t>meaningful data</w:t>
            </w:r>
          </w:p>
        </w:tc>
      </w:tr>
      <w:tr w:rsidR="004E53C1" w14:paraId="5F711258" w14:textId="77777777" w:rsidTr="00B37DE0">
        <w:trPr>
          <w:trHeight w:val="814"/>
        </w:trPr>
        <w:tc>
          <w:tcPr>
            <w:tcW w:w="2289" w:type="dxa"/>
          </w:tcPr>
          <w:p w14:paraId="36C24349" w14:textId="77777777" w:rsidR="004E53C1" w:rsidRPr="00B93AA7" w:rsidRDefault="004E53C1" w:rsidP="003F248F">
            <w:pPr>
              <w:spacing w:line="276" w:lineRule="auto"/>
              <w:rPr>
                <w:rFonts w:ascii="Arial" w:hAnsi="Arial" w:cs="Arial"/>
                <w:sz w:val="20"/>
              </w:rPr>
            </w:pPr>
            <w:r>
              <w:rPr>
                <w:rFonts w:ascii="Arial" w:hAnsi="Arial" w:cs="Arial"/>
                <w:sz w:val="20"/>
              </w:rPr>
              <w:t>i</w:t>
            </w:r>
            <w:r w:rsidRPr="00B93AA7">
              <w:rPr>
                <w:rFonts w:ascii="Arial" w:hAnsi="Arial" w:cs="Arial"/>
                <w:sz w:val="20"/>
              </w:rPr>
              <w:t>nformation system</w:t>
            </w:r>
          </w:p>
        </w:tc>
        <w:tc>
          <w:tcPr>
            <w:tcW w:w="6831" w:type="dxa"/>
          </w:tcPr>
          <w:p w14:paraId="559C1226" w14:textId="77777777" w:rsidR="004E53C1" w:rsidRPr="00CF2DC8" w:rsidRDefault="004E53C1" w:rsidP="003F248F">
            <w:pPr>
              <w:spacing w:line="276" w:lineRule="auto"/>
              <w:rPr>
                <w:rFonts w:ascii="Arial" w:hAnsi="Arial" w:cs="Arial"/>
                <w:sz w:val="20"/>
              </w:rPr>
            </w:pPr>
            <w:r w:rsidRPr="00B93AA7">
              <w:rPr>
                <w:rFonts w:ascii="Arial" w:hAnsi="Arial" w:cs="Arial"/>
                <w:sz w:val="20"/>
              </w:rPr>
              <w:t>applications, services, information technology assets, or other information handling components</w:t>
            </w:r>
            <w:r>
              <w:rPr>
                <w:rFonts w:ascii="Arial" w:hAnsi="Arial" w:cs="Arial"/>
                <w:sz w:val="20"/>
              </w:rPr>
              <w:t>; includes software, hardware, data, people and procedures</w:t>
            </w:r>
          </w:p>
        </w:tc>
      </w:tr>
      <w:tr w:rsidR="004E53C1" w14:paraId="0E2CC6E8" w14:textId="77777777" w:rsidTr="00B37DE0">
        <w:trPr>
          <w:trHeight w:val="522"/>
        </w:trPr>
        <w:tc>
          <w:tcPr>
            <w:tcW w:w="2289" w:type="dxa"/>
          </w:tcPr>
          <w:p w14:paraId="0FD9B24F" w14:textId="77777777" w:rsidR="004E53C1" w:rsidRDefault="004E53C1" w:rsidP="003F248F">
            <w:pPr>
              <w:spacing w:line="276" w:lineRule="auto"/>
              <w:rPr>
                <w:rFonts w:ascii="Arial" w:hAnsi="Arial" w:cs="Arial"/>
              </w:rPr>
            </w:pPr>
            <w:r w:rsidRPr="00CF2DC8">
              <w:rPr>
                <w:rFonts w:ascii="Arial" w:hAnsi="Arial" w:cs="Arial"/>
                <w:sz w:val="20"/>
              </w:rPr>
              <w:t>infrastructure</w:t>
            </w:r>
          </w:p>
        </w:tc>
        <w:tc>
          <w:tcPr>
            <w:tcW w:w="6831" w:type="dxa"/>
          </w:tcPr>
          <w:p w14:paraId="2D9A293D" w14:textId="77777777" w:rsidR="004E53C1" w:rsidRPr="00CF2DC8" w:rsidRDefault="004E53C1" w:rsidP="003F248F">
            <w:pPr>
              <w:spacing w:line="276" w:lineRule="auto"/>
              <w:rPr>
                <w:rFonts w:ascii="Arial" w:hAnsi="Arial" w:cs="Arial"/>
                <w:sz w:val="20"/>
              </w:rPr>
            </w:pPr>
            <w:r w:rsidRPr="00CF2DC8">
              <w:rPr>
                <w:rFonts w:ascii="Arial" w:hAnsi="Arial" w:cs="Arial"/>
                <w:sz w:val="20"/>
              </w:rPr>
              <w:t xml:space="preserve">system of facilities, equipment and services needed for the operation of an </w:t>
            </w:r>
            <w:r>
              <w:rPr>
                <w:rFonts w:ascii="Arial" w:hAnsi="Arial" w:cs="Arial"/>
                <w:sz w:val="20"/>
              </w:rPr>
              <w:t>organisation</w:t>
            </w:r>
          </w:p>
        </w:tc>
      </w:tr>
      <w:tr w:rsidR="004E53C1" w14:paraId="729C2E8F" w14:textId="77777777" w:rsidTr="00B37DE0">
        <w:trPr>
          <w:trHeight w:val="276"/>
        </w:trPr>
        <w:tc>
          <w:tcPr>
            <w:tcW w:w="2289" w:type="dxa"/>
          </w:tcPr>
          <w:p w14:paraId="66D7592B" w14:textId="77777777" w:rsidR="004E53C1" w:rsidRPr="00B93AA7" w:rsidRDefault="004E53C1" w:rsidP="003F248F">
            <w:pPr>
              <w:spacing w:line="276" w:lineRule="auto"/>
              <w:rPr>
                <w:rFonts w:ascii="Arial" w:hAnsi="Arial" w:cs="Arial"/>
                <w:sz w:val="20"/>
              </w:rPr>
            </w:pPr>
            <w:r w:rsidRPr="00B93AA7">
              <w:rPr>
                <w:rFonts w:ascii="Arial" w:hAnsi="Arial" w:cs="Arial"/>
                <w:sz w:val="20"/>
              </w:rPr>
              <w:t>objective</w:t>
            </w:r>
          </w:p>
        </w:tc>
        <w:tc>
          <w:tcPr>
            <w:tcW w:w="6831" w:type="dxa"/>
          </w:tcPr>
          <w:p w14:paraId="6E84AADF" w14:textId="77777777" w:rsidR="004E53C1" w:rsidRPr="00B93AA7" w:rsidRDefault="004E53C1" w:rsidP="003F248F">
            <w:pPr>
              <w:spacing w:line="276" w:lineRule="auto"/>
              <w:rPr>
                <w:rFonts w:ascii="Arial" w:hAnsi="Arial" w:cs="Arial"/>
                <w:sz w:val="20"/>
              </w:rPr>
            </w:pPr>
            <w:r w:rsidRPr="00B93AA7">
              <w:rPr>
                <w:rFonts w:ascii="Arial" w:hAnsi="Arial" w:cs="Arial"/>
                <w:sz w:val="20"/>
              </w:rPr>
              <w:t>result to be achieved</w:t>
            </w:r>
          </w:p>
        </w:tc>
      </w:tr>
      <w:tr w:rsidR="004E53C1" w14:paraId="1889032A" w14:textId="77777777" w:rsidTr="00B37DE0">
        <w:trPr>
          <w:trHeight w:val="537"/>
        </w:trPr>
        <w:tc>
          <w:tcPr>
            <w:tcW w:w="2289" w:type="dxa"/>
          </w:tcPr>
          <w:p w14:paraId="6CB32666" w14:textId="77777777" w:rsidR="004E53C1" w:rsidRPr="00B93AA7" w:rsidRDefault="004E53C1" w:rsidP="003F248F">
            <w:pPr>
              <w:spacing w:line="276" w:lineRule="auto"/>
              <w:rPr>
                <w:rFonts w:ascii="Arial" w:hAnsi="Arial" w:cs="Arial"/>
                <w:sz w:val="20"/>
              </w:rPr>
            </w:pPr>
            <w:r w:rsidRPr="00B93AA7">
              <w:rPr>
                <w:rFonts w:ascii="Arial" w:hAnsi="Arial" w:cs="Arial"/>
                <w:sz w:val="20"/>
              </w:rPr>
              <w:t>policy</w:t>
            </w:r>
          </w:p>
        </w:tc>
        <w:tc>
          <w:tcPr>
            <w:tcW w:w="6831" w:type="dxa"/>
          </w:tcPr>
          <w:p w14:paraId="2FD4FA09" w14:textId="77777777" w:rsidR="004E53C1" w:rsidRPr="002766AE" w:rsidRDefault="004E53C1" w:rsidP="003F248F">
            <w:pPr>
              <w:spacing w:line="276" w:lineRule="auto"/>
              <w:rPr>
                <w:rFonts w:ascii="Arial" w:hAnsi="Arial" w:cs="Arial"/>
                <w:sz w:val="20"/>
              </w:rPr>
            </w:pPr>
            <w:r w:rsidRPr="00B93AA7">
              <w:rPr>
                <w:rFonts w:ascii="Arial" w:hAnsi="Arial" w:cs="Arial"/>
                <w:sz w:val="20"/>
              </w:rPr>
              <w:t xml:space="preserve">intentions and direction of an </w:t>
            </w:r>
            <w:r>
              <w:rPr>
                <w:rFonts w:ascii="Arial" w:hAnsi="Arial" w:cs="Arial"/>
                <w:sz w:val="20"/>
              </w:rPr>
              <w:t>organisation</w:t>
            </w:r>
            <w:r w:rsidRPr="00B93AA7">
              <w:rPr>
                <w:rFonts w:ascii="Arial" w:hAnsi="Arial" w:cs="Arial"/>
                <w:sz w:val="20"/>
              </w:rPr>
              <w:t xml:space="preserve"> as formally expressed by its top</w:t>
            </w:r>
            <w:r>
              <w:rPr>
                <w:rFonts w:ascii="Arial" w:hAnsi="Arial" w:cs="Arial"/>
                <w:sz w:val="20"/>
              </w:rPr>
              <w:t xml:space="preserve"> level of</w:t>
            </w:r>
            <w:r w:rsidRPr="00B93AA7">
              <w:rPr>
                <w:rFonts w:ascii="Arial" w:hAnsi="Arial" w:cs="Arial"/>
                <w:sz w:val="20"/>
              </w:rPr>
              <w:t xml:space="preserve"> management</w:t>
            </w:r>
          </w:p>
        </w:tc>
      </w:tr>
      <w:tr w:rsidR="004E53C1" w14:paraId="0D2C0FE1" w14:textId="77777777" w:rsidTr="00B37DE0">
        <w:trPr>
          <w:trHeight w:val="261"/>
        </w:trPr>
        <w:tc>
          <w:tcPr>
            <w:tcW w:w="2289" w:type="dxa"/>
          </w:tcPr>
          <w:p w14:paraId="5B4B1834" w14:textId="77777777" w:rsidR="004E53C1" w:rsidRPr="002766AE" w:rsidRDefault="004E53C1" w:rsidP="003F248F">
            <w:pPr>
              <w:spacing w:line="276" w:lineRule="auto"/>
              <w:rPr>
                <w:rFonts w:ascii="Arial" w:hAnsi="Arial" w:cs="Arial"/>
                <w:sz w:val="20"/>
              </w:rPr>
            </w:pPr>
            <w:r w:rsidRPr="002766AE">
              <w:rPr>
                <w:rFonts w:ascii="Arial" w:hAnsi="Arial" w:cs="Arial"/>
                <w:sz w:val="20"/>
              </w:rPr>
              <w:t>procedure</w:t>
            </w:r>
          </w:p>
        </w:tc>
        <w:tc>
          <w:tcPr>
            <w:tcW w:w="6831" w:type="dxa"/>
          </w:tcPr>
          <w:p w14:paraId="6AEC7AB3" w14:textId="77777777" w:rsidR="004E53C1" w:rsidRPr="002766AE" w:rsidRDefault="004E53C1" w:rsidP="003F248F">
            <w:pPr>
              <w:spacing w:line="276" w:lineRule="auto"/>
              <w:rPr>
                <w:rFonts w:ascii="Arial" w:hAnsi="Arial" w:cs="Arial"/>
                <w:sz w:val="20"/>
              </w:rPr>
            </w:pPr>
            <w:r w:rsidRPr="002766AE">
              <w:rPr>
                <w:rFonts w:ascii="Arial" w:hAnsi="Arial" w:cs="Arial"/>
                <w:sz w:val="20"/>
              </w:rPr>
              <w:t>specified way to carry out an activity or a process</w:t>
            </w:r>
          </w:p>
        </w:tc>
      </w:tr>
      <w:tr w:rsidR="004E53C1" w14:paraId="395897E5" w14:textId="77777777" w:rsidTr="00B37DE0">
        <w:trPr>
          <w:trHeight w:val="537"/>
        </w:trPr>
        <w:tc>
          <w:tcPr>
            <w:tcW w:w="2289" w:type="dxa"/>
          </w:tcPr>
          <w:p w14:paraId="6E69DF1C" w14:textId="77777777" w:rsidR="004E53C1" w:rsidRPr="00B93AA7" w:rsidRDefault="004E53C1" w:rsidP="003F248F">
            <w:pPr>
              <w:spacing w:line="276" w:lineRule="auto"/>
              <w:rPr>
                <w:rFonts w:ascii="Arial" w:hAnsi="Arial" w:cs="Arial"/>
                <w:sz w:val="20"/>
              </w:rPr>
            </w:pPr>
            <w:r w:rsidRPr="00B93AA7">
              <w:rPr>
                <w:rFonts w:ascii="Arial" w:hAnsi="Arial" w:cs="Arial"/>
                <w:sz w:val="20"/>
              </w:rPr>
              <w:t>process</w:t>
            </w:r>
          </w:p>
        </w:tc>
        <w:tc>
          <w:tcPr>
            <w:tcW w:w="6831" w:type="dxa"/>
          </w:tcPr>
          <w:p w14:paraId="6EA13419" w14:textId="77777777" w:rsidR="004E53C1" w:rsidRPr="002766AE" w:rsidRDefault="004E53C1" w:rsidP="003F248F">
            <w:pPr>
              <w:spacing w:line="276" w:lineRule="auto"/>
              <w:rPr>
                <w:rFonts w:ascii="Arial" w:hAnsi="Arial" w:cs="Arial"/>
                <w:sz w:val="20"/>
              </w:rPr>
            </w:pPr>
            <w:r w:rsidRPr="00B93AA7">
              <w:rPr>
                <w:rFonts w:ascii="Arial" w:hAnsi="Arial" w:cs="Arial"/>
                <w:sz w:val="20"/>
              </w:rPr>
              <w:t>set of interrelated or interacting activities which transforms inputs into outputs</w:t>
            </w:r>
          </w:p>
        </w:tc>
      </w:tr>
      <w:tr w:rsidR="004E53C1" w14:paraId="2E9B3F19" w14:textId="77777777" w:rsidTr="00B37DE0">
        <w:trPr>
          <w:trHeight w:val="537"/>
        </w:trPr>
        <w:tc>
          <w:tcPr>
            <w:tcW w:w="2289" w:type="dxa"/>
          </w:tcPr>
          <w:p w14:paraId="16C80CED" w14:textId="77777777" w:rsidR="004E53C1" w:rsidRPr="00CF2DC8" w:rsidRDefault="004E53C1" w:rsidP="003F248F">
            <w:pPr>
              <w:spacing w:line="276" w:lineRule="auto"/>
              <w:rPr>
                <w:rFonts w:ascii="Arial" w:hAnsi="Arial" w:cs="Arial"/>
                <w:sz w:val="20"/>
              </w:rPr>
            </w:pPr>
            <w:r w:rsidRPr="00CF2DC8">
              <w:rPr>
                <w:rFonts w:ascii="Arial" w:hAnsi="Arial" w:cs="Arial"/>
                <w:sz w:val="20"/>
              </w:rPr>
              <w:t>quality</w:t>
            </w:r>
          </w:p>
        </w:tc>
        <w:tc>
          <w:tcPr>
            <w:tcW w:w="6831" w:type="dxa"/>
          </w:tcPr>
          <w:p w14:paraId="13A4A6AF" w14:textId="77777777" w:rsidR="004E53C1" w:rsidRPr="00CF2DC8" w:rsidRDefault="004E53C1" w:rsidP="003F248F">
            <w:pPr>
              <w:spacing w:line="276" w:lineRule="auto"/>
              <w:rPr>
                <w:rFonts w:ascii="Arial" w:hAnsi="Arial" w:cs="Arial"/>
                <w:sz w:val="20"/>
              </w:rPr>
            </w:pPr>
            <w:r w:rsidRPr="00CF2DC8">
              <w:rPr>
                <w:rFonts w:ascii="Arial" w:hAnsi="Arial" w:cs="Arial"/>
                <w:sz w:val="20"/>
              </w:rPr>
              <w:t>degree to which a set of inherent characteristics of an object fulfils requirements</w:t>
            </w:r>
          </w:p>
        </w:tc>
      </w:tr>
      <w:tr w:rsidR="004E53C1" w14:paraId="7F2775CD" w14:textId="77777777" w:rsidTr="00B37DE0">
        <w:trPr>
          <w:trHeight w:val="261"/>
        </w:trPr>
        <w:tc>
          <w:tcPr>
            <w:tcW w:w="2289" w:type="dxa"/>
          </w:tcPr>
          <w:p w14:paraId="14D06C6A" w14:textId="77777777" w:rsidR="004E53C1" w:rsidRPr="001337F5" w:rsidRDefault="004E53C1" w:rsidP="003F248F">
            <w:pPr>
              <w:spacing w:line="276" w:lineRule="auto"/>
              <w:rPr>
                <w:rFonts w:ascii="Arial" w:hAnsi="Arial" w:cs="Arial"/>
              </w:rPr>
            </w:pPr>
            <w:r w:rsidRPr="001337F5">
              <w:rPr>
                <w:rFonts w:ascii="Arial" w:hAnsi="Arial" w:cs="Arial"/>
                <w:sz w:val="20"/>
              </w:rPr>
              <w:t>return</w:t>
            </w:r>
          </w:p>
        </w:tc>
        <w:tc>
          <w:tcPr>
            <w:tcW w:w="6831" w:type="dxa"/>
          </w:tcPr>
          <w:p w14:paraId="1ADBD92E" w14:textId="77777777" w:rsidR="004E53C1" w:rsidRPr="00CF2DC8" w:rsidRDefault="004E53C1" w:rsidP="003F248F">
            <w:pPr>
              <w:spacing w:line="276" w:lineRule="auto"/>
              <w:rPr>
                <w:rFonts w:ascii="Arial" w:hAnsi="Arial" w:cs="Arial"/>
              </w:rPr>
            </w:pPr>
            <w:r>
              <w:rPr>
                <w:rFonts w:ascii="Arial" w:hAnsi="Arial" w:cs="Arial"/>
                <w:sz w:val="20"/>
              </w:rPr>
              <w:t>r</w:t>
            </w:r>
            <w:r w:rsidRPr="001337F5">
              <w:rPr>
                <w:rFonts w:ascii="Arial" w:hAnsi="Arial" w:cs="Arial"/>
                <w:sz w:val="20"/>
              </w:rPr>
              <w:t>eport formally or officially on a specific matter</w:t>
            </w:r>
          </w:p>
        </w:tc>
      </w:tr>
      <w:tr w:rsidR="004E53C1" w14:paraId="591AC4BA" w14:textId="77777777" w:rsidTr="00B37DE0">
        <w:trPr>
          <w:trHeight w:val="261"/>
        </w:trPr>
        <w:tc>
          <w:tcPr>
            <w:tcW w:w="2289" w:type="dxa"/>
          </w:tcPr>
          <w:p w14:paraId="27DF2D3D" w14:textId="77777777" w:rsidR="004E53C1" w:rsidRPr="00B93AA7" w:rsidRDefault="004E53C1" w:rsidP="003F248F">
            <w:pPr>
              <w:spacing w:line="276" w:lineRule="auto"/>
              <w:rPr>
                <w:rFonts w:ascii="Arial" w:hAnsi="Arial" w:cs="Arial"/>
                <w:sz w:val="20"/>
              </w:rPr>
            </w:pPr>
            <w:r w:rsidRPr="00B93AA7">
              <w:rPr>
                <w:rFonts w:ascii="Arial" w:hAnsi="Arial" w:cs="Arial"/>
                <w:sz w:val="20"/>
              </w:rPr>
              <w:t>risk</w:t>
            </w:r>
          </w:p>
        </w:tc>
        <w:tc>
          <w:tcPr>
            <w:tcW w:w="6831" w:type="dxa"/>
          </w:tcPr>
          <w:p w14:paraId="37D74910" w14:textId="77777777" w:rsidR="004E53C1" w:rsidRPr="00B93AA7" w:rsidRDefault="004E53C1" w:rsidP="003F248F">
            <w:pPr>
              <w:spacing w:line="276" w:lineRule="auto"/>
              <w:rPr>
                <w:rFonts w:ascii="Arial" w:hAnsi="Arial" w:cs="Arial"/>
                <w:sz w:val="20"/>
              </w:rPr>
            </w:pPr>
            <w:r w:rsidRPr="00B93AA7">
              <w:rPr>
                <w:rFonts w:ascii="Arial" w:hAnsi="Arial" w:cs="Arial"/>
                <w:sz w:val="20"/>
              </w:rPr>
              <w:t>effect of uncertainty on objectives</w:t>
            </w:r>
          </w:p>
        </w:tc>
      </w:tr>
      <w:tr w:rsidR="004E53C1" w14:paraId="6A46DB36" w14:textId="77777777" w:rsidTr="00B37DE0">
        <w:trPr>
          <w:trHeight w:val="57"/>
        </w:trPr>
        <w:tc>
          <w:tcPr>
            <w:tcW w:w="2289" w:type="dxa"/>
          </w:tcPr>
          <w:p w14:paraId="72F9EC35" w14:textId="77777777" w:rsidR="004E53C1" w:rsidRPr="00B93AA7" w:rsidRDefault="004E53C1" w:rsidP="003F248F">
            <w:pPr>
              <w:spacing w:line="276" w:lineRule="auto"/>
              <w:rPr>
                <w:rFonts w:ascii="Arial" w:hAnsi="Arial" w:cs="Arial"/>
                <w:sz w:val="20"/>
              </w:rPr>
            </w:pPr>
            <w:r w:rsidRPr="00B93AA7">
              <w:rPr>
                <w:rFonts w:ascii="Arial" w:hAnsi="Arial" w:cs="Arial"/>
                <w:sz w:val="20"/>
              </w:rPr>
              <w:t>risk assessment</w:t>
            </w:r>
          </w:p>
        </w:tc>
        <w:tc>
          <w:tcPr>
            <w:tcW w:w="6831" w:type="dxa"/>
          </w:tcPr>
          <w:p w14:paraId="78E7A8E2" w14:textId="77777777" w:rsidR="004E53C1" w:rsidRPr="00B93AA7" w:rsidRDefault="004E53C1" w:rsidP="003F248F">
            <w:pPr>
              <w:spacing w:line="276" w:lineRule="auto"/>
              <w:rPr>
                <w:rFonts w:ascii="Arial" w:hAnsi="Arial" w:cs="Arial"/>
                <w:sz w:val="20"/>
              </w:rPr>
            </w:pPr>
            <w:r w:rsidRPr="00B93AA7">
              <w:rPr>
                <w:rFonts w:ascii="Arial" w:hAnsi="Arial" w:cs="Arial"/>
                <w:sz w:val="20"/>
              </w:rPr>
              <w:t>overall process of risk identification, risk analysis and risk evaluation</w:t>
            </w:r>
          </w:p>
        </w:tc>
      </w:tr>
      <w:tr w:rsidR="004E53C1" w14:paraId="4DEEB701" w14:textId="77777777" w:rsidTr="00B37DE0">
        <w:trPr>
          <w:trHeight w:val="537"/>
        </w:trPr>
        <w:tc>
          <w:tcPr>
            <w:tcW w:w="2289" w:type="dxa"/>
          </w:tcPr>
          <w:p w14:paraId="3B54A339" w14:textId="77777777" w:rsidR="004E53C1" w:rsidRPr="00B93AA7" w:rsidRDefault="004E53C1" w:rsidP="003F248F">
            <w:pPr>
              <w:spacing w:line="276" w:lineRule="auto"/>
              <w:rPr>
                <w:rFonts w:ascii="Arial" w:hAnsi="Arial" w:cs="Arial"/>
                <w:sz w:val="20"/>
              </w:rPr>
            </w:pPr>
            <w:r w:rsidRPr="00B93AA7">
              <w:rPr>
                <w:rFonts w:ascii="Arial" w:hAnsi="Arial" w:cs="Arial"/>
                <w:sz w:val="20"/>
              </w:rPr>
              <w:t>stakeholder</w:t>
            </w:r>
          </w:p>
        </w:tc>
        <w:tc>
          <w:tcPr>
            <w:tcW w:w="6831" w:type="dxa"/>
          </w:tcPr>
          <w:p w14:paraId="39069E2B" w14:textId="77777777" w:rsidR="004E53C1" w:rsidRPr="00B93AA7" w:rsidRDefault="004E53C1" w:rsidP="003F248F">
            <w:pPr>
              <w:spacing w:line="276" w:lineRule="auto"/>
              <w:rPr>
                <w:rFonts w:ascii="Arial" w:hAnsi="Arial" w:cs="Arial"/>
                <w:sz w:val="20"/>
              </w:rPr>
            </w:pPr>
            <w:r w:rsidRPr="00B93AA7">
              <w:rPr>
                <w:rFonts w:ascii="Arial" w:hAnsi="Arial" w:cs="Arial"/>
                <w:sz w:val="20"/>
              </w:rPr>
              <w:t xml:space="preserve">person or </w:t>
            </w:r>
            <w:r>
              <w:rPr>
                <w:rFonts w:ascii="Arial" w:hAnsi="Arial" w:cs="Arial"/>
                <w:sz w:val="20"/>
              </w:rPr>
              <w:t>organisation</w:t>
            </w:r>
            <w:r w:rsidRPr="00B93AA7">
              <w:rPr>
                <w:rFonts w:ascii="Arial" w:hAnsi="Arial" w:cs="Arial"/>
                <w:sz w:val="20"/>
              </w:rPr>
              <w:t xml:space="preserve"> that can affect, be affected by, or perceive themselves to be affected by a decision or activity</w:t>
            </w:r>
          </w:p>
        </w:tc>
      </w:tr>
      <w:tr w:rsidR="004E53C1" w14:paraId="16CC11EA" w14:textId="77777777" w:rsidTr="00B37DE0">
        <w:trPr>
          <w:trHeight w:val="261"/>
        </w:trPr>
        <w:tc>
          <w:tcPr>
            <w:tcW w:w="2289" w:type="dxa"/>
          </w:tcPr>
          <w:p w14:paraId="59EF83F8" w14:textId="77777777" w:rsidR="004E53C1" w:rsidRPr="00C15B76" w:rsidRDefault="004E53C1" w:rsidP="003F248F">
            <w:pPr>
              <w:spacing w:line="276" w:lineRule="auto"/>
              <w:rPr>
                <w:rFonts w:ascii="Arial" w:hAnsi="Arial" w:cs="Arial"/>
                <w:sz w:val="20"/>
              </w:rPr>
            </w:pPr>
            <w:r>
              <w:rPr>
                <w:rFonts w:ascii="Arial" w:hAnsi="Arial" w:cs="Arial"/>
                <w:sz w:val="20"/>
              </w:rPr>
              <w:t>s</w:t>
            </w:r>
            <w:r w:rsidRPr="00C15B76">
              <w:rPr>
                <w:rFonts w:ascii="Arial" w:hAnsi="Arial" w:cs="Arial"/>
                <w:sz w:val="20"/>
              </w:rPr>
              <w:t>tatutory requirement</w:t>
            </w:r>
          </w:p>
        </w:tc>
        <w:tc>
          <w:tcPr>
            <w:tcW w:w="6831" w:type="dxa"/>
          </w:tcPr>
          <w:p w14:paraId="54A69C6E" w14:textId="77777777" w:rsidR="004E53C1" w:rsidRPr="00C15B76" w:rsidRDefault="004E53C1" w:rsidP="003F248F">
            <w:pPr>
              <w:spacing w:line="276" w:lineRule="auto"/>
              <w:rPr>
                <w:rFonts w:ascii="Arial" w:hAnsi="Arial" w:cs="Arial"/>
                <w:sz w:val="20"/>
              </w:rPr>
            </w:pPr>
            <w:r w:rsidRPr="00C15B76">
              <w:rPr>
                <w:rFonts w:ascii="Arial" w:hAnsi="Arial" w:cs="Arial"/>
                <w:sz w:val="20"/>
              </w:rPr>
              <w:t>obligatory requirement specified by a legislative body</w:t>
            </w:r>
          </w:p>
        </w:tc>
      </w:tr>
    </w:tbl>
    <w:p w14:paraId="2EB40D2C" w14:textId="3D3363CB" w:rsidR="004E53C1" w:rsidRPr="00131065" w:rsidRDefault="004E53C1" w:rsidP="00131065">
      <w:pPr>
        <w:tabs>
          <w:tab w:val="left" w:pos="709"/>
        </w:tabs>
        <w:spacing w:after="0"/>
        <w:rPr>
          <w:rFonts w:ascii="Arial" w:hAnsi="Arial" w:cs="Arial"/>
          <w:szCs w:val="22"/>
        </w:rPr>
      </w:pPr>
    </w:p>
    <w:sectPr w:rsidR="004E53C1" w:rsidRPr="00131065" w:rsidSect="00987BC4">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DEDA9B" w16cex:dateUtc="2021-04-21T14:38:22.906Z"/>
  <w16cex:commentExtensible w16cex:durableId="543E8A64" w16cex:dateUtc="2021-05-10T09:31:21.325Z"/>
  <w16cex:commentExtensible w16cex:durableId="61BF7FB5" w16cex:dateUtc="2021-05-10T09:43:25.524Z"/>
  <w16cex:commentExtensible w16cex:durableId="21632E70" w16cex:dateUtc="2021-05-10T09:50:54.804Z"/>
  <w16cex:commentExtensible w16cex:durableId="2FBC2AE6" w16cex:dateUtc="2021-05-10T09:53:24.561Z"/>
  <w16cex:commentExtensible w16cex:durableId="1EB7E7F1" w16cex:dateUtc="2021-05-10T10:06:41.575Z"/>
</w16cex:commentsExtensible>
</file>

<file path=word/commentsIds.xml><?xml version="1.0" encoding="utf-8"?>
<w16cid:commentsIds xmlns:mc="http://schemas.openxmlformats.org/markup-compatibility/2006" xmlns:w16cid="http://schemas.microsoft.com/office/word/2016/wordml/cid" mc:Ignorable="w16cid">
  <w16cid:commentId w16cid:paraId="1A90B2DB" w16cid:durableId="52721BE8"/>
  <w16cid:commentId w16cid:paraId="527D6C34" w16cid:durableId="2FD80F96"/>
  <w16cid:commentId w16cid:paraId="79DE10DF" w16cid:durableId="6794F074"/>
  <w16cid:commentId w16cid:paraId="74E24BD5" w16cid:durableId="2F80D4F7"/>
  <w16cid:commentId w16cid:paraId="58887154" w16cid:durableId="05F94312"/>
  <w16cid:commentId w16cid:paraId="40157B50" w16cid:durableId="4B089B87"/>
  <w16cid:commentId w16cid:paraId="4873078D" w16cid:durableId="51ECCA15"/>
  <w16cid:commentId w16cid:paraId="30B44B0F" w16cid:durableId="750ACFAC"/>
  <w16cid:commentId w16cid:paraId="09E570BC" w16cid:durableId="3AD2EFDA"/>
  <w16cid:commentId w16cid:paraId="42C828E6" w16cid:durableId="2CF8DAFA"/>
  <w16cid:commentId w16cid:paraId="6280C3E6" w16cid:durableId="47C717B5"/>
  <w16cid:commentId w16cid:paraId="523355E0" w16cid:durableId="3E2DDC24"/>
  <w16cid:commentId w16cid:paraId="6B222D0F" w16cid:durableId="72DEDA9B"/>
  <w16cid:commentId w16cid:paraId="6B04BDB6" w16cid:durableId="543E8A64"/>
  <w16cid:commentId w16cid:paraId="3B201E54" w16cid:durableId="61BF7FB5"/>
  <w16cid:commentId w16cid:paraId="6DDD54D5" w16cid:durableId="21632E70"/>
  <w16cid:commentId w16cid:paraId="6BE3A2B7" w16cid:durableId="2FBC2AE6"/>
  <w16cid:commentId w16cid:paraId="6462DC67" w16cid:durableId="1EB7E7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8AF0" w14:textId="77777777" w:rsidR="009D4F19" w:rsidRDefault="009D4F19" w:rsidP="004D791F">
      <w:pPr>
        <w:spacing w:after="0" w:line="240" w:lineRule="auto"/>
      </w:pPr>
      <w:r>
        <w:separator/>
      </w:r>
    </w:p>
  </w:endnote>
  <w:endnote w:type="continuationSeparator" w:id="0">
    <w:p w14:paraId="446788C3" w14:textId="77777777" w:rsidR="009D4F19" w:rsidRDefault="009D4F19" w:rsidP="004D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QMZLI+Cambria">
    <w:altName w:val="NQMZLI+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A9E8" w14:textId="77777777" w:rsidR="009D4F19" w:rsidRDefault="009D4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88A7" w14:textId="77777777" w:rsidR="009D4F19" w:rsidRDefault="009D4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B4EC" w14:textId="77777777" w:rsidR="009D4F19" w:rsidRDefault="009D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F115" w14:textId="77777777" w:rsidR="009D4F19" w:rsidRDefault="009D4F19" w:rsidP="004D791F">
      <w:pPr>
        <w:spacing w:after="0" w:line="240" w:lineRule="auto"/>
      </w:pPr>
      <w:r>
        <w:separator/>
      </w:r>
    </w:p>
  </w:footnote>
  <w:footnote w:type="continuationSeparator" w:id="0">
    <w:p w14:paraId="16AFF2D7" w14:textId="77777777" w:rsidR="009D4F19" w:rsidRDefault="009D4F19" w:rsidP="004D791F">
      <w:pPr>
        <w:spacing w:after="0" w:line="240" w:lineRule="auto"/>
      </w:pPr>
      <w:r>
        <w:continuationSeparator/>
      </w:r>
    </w:p>
  </w:footnote>
  <w:footnote w:id="1">
    <w:p w14:paraId="7EA50971" w14:textId="5501E991" w:rsidR="009D4F19" w:rsidRDefault="009D4F19" w:rsidP="00E37E84">
      <w:pPr>
        <w:pStyle w:val="FootnoteText"/>
      </w:pPr>
      <w:r w:rsidRPr="003709EE">
        <w:rPr>
          <w:rStyle w:val="FootnoteReference"/>
        </w:rPr>
        <w:footnoteRef/>
      </w:r>
      <w:r>
        <w:t xml:space="preserve"> </w:t>
      </w:r>
      <w:hyperlink r:id="rId1" w:history="1">
        <w:r w:rsidRPr="00097BD4">
          <w:rPr>
            <w:rStyle w:val="Hyperlink"/>
          </w:rPr>
          <w:t>https://governance.admin.ox.ac.uk/data-quality</w:t>
        </w:r>
      </w:hyperlink>
      <w:r>
        <w:t xml:space="preserve"> </w:t>
      </w:r>
    </w:p>
  </w:footnote>
  <w:footnote w:id="2">
    <w:p w14:paraId="1C6828CB" w14:textId="358B5B9E" w:rsidR="009D4F19" w:rsidRDefault="009D4F19" w:rsidP="008C35C8">
      <w:pPr>
        <w:pStyle w:val="FootnoteText"/>
      </w:pPr>
      <w:r w:rsidRPr="003709EE">
        <w:rPr>
          <w:rStyle w:val="FootnoteReference"/>
        </w:rPr>
        <w:footnoteRef/>
      </w:r>
      <w:r>
        <w:t xml:space="preserve"> Available at </w:t>
      </w:r>
      <w:hyperlink r:id="rId2" w:history="1">
        <w:r w:rsidRPr="00097BD4">
          <w:rPr>
            <w:rStyle w:val="Hyperlink"/>
          </w:rPr>
          <w:t>https://governance.admin.ox.ac.uk/data-risk-management</w:t>
        </w:r>
      </w:hyperlink>
    </w:p>
  </w:footnote>
  <w:footnote w:id="3">
    <w:p w14:paraId="62F1A738" w14:textId="7F021AA3" w:rsidR="009D4F19" w:rsidRDefault="009D4F19">
      <w:pPr>
        <w:pStyle w:val="FootnoteText"/>
      </w:pPr>
      <w:r>
        <w:rPr>
          <w:rStyle w:val="FootnoteReference"/>
        </w:rPr>
        <w:footnoteRef/>
      </w:r>
      <w:r>
        <w:t xml:space="preserve"> Available at </w:t>
      </w:r>
      <w:hyperlink r:id="rId3" w:history="1">
        <w:r w:rsidRPr="00097BD4">
          <w:rPr>
            <w:rStyle w:val="Hyperlink"/>
          </w:rPr>
          <w:t>https://governance.admin.ox.ac.uk/data-risk-management</w:t>
        </w:r>
      </w:hyperlink>
    </w:p>
  </w:footnote>
  <w:footnote w:id="4">
    <w:p w14:paraId="78285BF8" w14:textId="77777777" w:rsidR="009D4F19" w:rsidRDefault="009D4F19" w:rsidP="004E53C1">
      <w:pPr>
        <w:pStyle w:val="FootnoteText"/>
      </w:pPr>
      <w:r w:rsidRPr="003709EE">
        <w:rPr>
          <w:rStyle w:val="FootnoteReference"/>
        </w:rPr>
        <w:footnoteRef/>
      </w:r>
      <w:r>
        <w:t xml:space="preserve"> Sources: ISO 27000:2017, ISO 5000:2014, ISO 9000:2015, ISO 199115:2014, University of Oxford ITS494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30675638"/>
      <w:docPartObj>
        <w:docPartGallery w:val="Page Numbers (Top of Page)"/>
        <w:docPartUnique/>
      </w:docPartObj>
    </w:sdtPr>
    <w:sdtEndPr>
      <w:rPr>
        <w:b/>
        <w:bCs/>
        <w:noProof/>
        <w:color w:val="auto"/>
        <w:spacing w:val="0"/>
      </w:rPr>
    </w:sdtEndPr>
    <w:sdtContent>
      <w:p w14:paraId="56D85F58" w14:textId="7D26800A" w:rsidR="009D4F19" w:rsidRDefault="009D4F1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B0990" w:rsidRPr="007B0990">
          <w:rPr>
            <w:b/>
            <w:bCs/>
            <w:noProof/>
          </w:rPr>
          <w:t>10</w:t>
        </w:r>
        <w:r>
          <w:rPr>
            <w:b/>
            <w:bCs/>
            <w:noProof/>
            <w:color w:val="2B579A"/>
            <w:shd w:val="clear" w:color="auto" w:fill="E6E6E6"/>
          </w:rPr>
          <w:fldChar w:fldCharType="end"/>
        </w:r>
        <w:r>
          <w:rPr>
            <w:b/>
            <w:bCs/>
            <w:noProof/>
          </w:rPr>
          <w:t xml:space="preserve"> of </w:t>
        </w:r>
        <w:r>
          <w:rPr>
            <w:b/>
            <w:bCs/>
            <w:noProof/>
            <w:color w:val="2B579A"/>
            <w:shd w:val="clear" w:color="auto" w:fill="E6E6E6"/>
          </w:rPr>
          <w:fldChar w:fldCharType="begin"/>
        </w:r>
        <w:r>
          <w:rPr>
            <w:b/>
            <w:bCs/>
            <w:noProof/>
          </w:rPr>
          <w:instrText xml:space="preserve"> NUMPAGES   \* MERGEFORMAT </w:instrText>
        </w:r>
        <w:r>
          <w:rPr>
            <w:b/>
            <w:bCs/>
            <w:noProof/>
            <w:color w:val="2B579A"/>
            <w:shd w:val="clear" w:color="auto" w:fill="E6E6E6"/>
          </w:rPr>
          <w:fldChar w:fldCharType="separate"/>
        </w:r>
        <w:r w:rsidR="007B0990">
          <w:rPr>
            <w:b/>
            <w:bCs/>
            <w:noProof/>
          </w:rPr>
          <w:t>11</w:t>
        </w:r>
        <w:r>
          <w:rPr>
            <w:b/>
            <w:bCs/>
            <w:noProof/>
            <w:color w:val="2B579A"/>
            <w:shd w:val="clear" w:color="auto" w:fill="E6E6E6"/>
          </w:rPr>
          <w:fldChar w:fldCharType="end"/>
        </w:r>
      </w:p>
    </w:sdtContent>
  </w:sdt>
  <w:p w14:paraId="45CE9D97" w14:textId="77777777" w:rsidR="009D4F19" w:rsidRDefault="009D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95E9" w14:textId="77777777" w:rsidR="009D4F19" w:rsidRDefault="009D4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96994102"/>
      <w:docPartObj>
        <w:docPartGallery w:val="Page Numbers (Top of Page)"/>
        <w:docPartUnique/>
      </w:docPartObj>
    </w:sdtPr>
    <w:sdtEndPr>
      <w:rPr>
        <w:b/>
        <w:bCs/>
        <w:noProof/>
        <w:color w:val="auto"/>
        <w:spacing w:val="0"/>
      </w:rPr>
    </w:sdtEndPr>
    <w:sdtContent>
      <w:p w14:paraId="6EB8FF59" w14:textId="1CFE81C7" w:rsidR="009D4F19" w:rsidRDefault="009D4F1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B0990" w:rsidRPr="007B0990">
          <w:rPr>
            <w:b/>
            <w:bCs/>
            <w:noProof/>
          </w:rPr>
          <w:t>11</w:t>
        </w:r>
        <w:r>
          <w:rPr>
            <w:b/>
            <w:bCs/>
            <w:noProof/>
            <w:color w:val="2B579A"/>
            <w:shd w:val="clear" w:color="auto" w:fill="E6E6E6"/>
          </w:rPr>
          <w:fldChar w:fldCharType="end"/>
        </w:r>
        <w:r>
          <w:rPr>
            <w:b/>
            <w:bCs/>
            <w:noProof/>
          </w:rP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7B0990">
          <w:rPr>
            <w:b/>
            <w:bCs/>
            <w:noProof/>
          </w:rPr>
          <w:t>11</w:t>
        </w:r>
        <w:r>
          <w:rPr>
            <w:b/>
            <w:bCs/>
            <w:color w:val="2B579A"/>
            <w:sz w:val="24"/>
            <w:szCs w:val="24"/>
            <w:shd w:val="clear" w:color="auto" w:fill="E6E6E6"/>
          </w:rPr>
          <w:fldChar w:fldCharType="end"/>
        </w:r>
      </w:p>
    </w:sdtContent>
  </w:sdt>
  <w:p w14:paraId="4A28DFAF" w14:textId="77777777" w:rsidR="009D4F19" w:rsidRDefault="009D4F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4727" w14:textId="77777777" w:rsidR="009D4F19" w:rsidRDefault="009D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3F4"/>
    <w:multiLevelType w:val="multilevel"/>
    <w:tmpl w:val="F90AA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C14B4"/>
    <w:multiLevelType w:val="multilevel"/>
    <w:tmpl w:val="D4A65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04425"/>
    <w:multiLevelType w:val="hybridMultilevel"/>
    <w:tmpl w:val="C50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056D0"/>
    <w:multiLevelType w:val="hybridMultilevel"/>
    <w:tmpl w:val="5DC6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F1410"/>
    <w:multiLevelType w:val="hybridMultilevel"/>
    <w:tmpl w:val="A8648158"/>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66D41"/>
    <w:multiLevelType w:val="hybridMultilevel"/>
    <w:tmpl w:val="5D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44043"/>
    <w:multiLevelType w:val="multilevel"/>
    <w:tmpl w:val="04F2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54A81"/>
    <w:multiLevelType w:val="multilevel"/>
    <w:tmpl w:val="D082B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D660F"/>
    <w:multiLevelType w:val="hybridMultilevel"/>
    <w:tmpl w:val="1DEA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37DD"/>
    <w:multiLevelType w:val="multilevel"/>
    <w:tmpl w:val="B99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1265C"/>
    <w:multiLevelType w:val="hybridMultilevel"/>
    <w:tmpl w:val="B9B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F2DAD"/>
    <w:multiLevelType w:val="hybridMultilevel"/>
    <w:tmpl w:val="1AE6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77B8F"/>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3" w15:restartNumberingAfterBreak="0">
    <w:nsid w:val="352E59C4"/>
    <w:multiLevelType w:val="hybridMultilevel"/>
    <w:tmpl w:val="BFC22FEC"/>
    <w:lvl w:ilvl="0" w:tplc="7FAEB9B4">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55C54"/>
    <w:multiLevelType w:val="hybridMultilevel"/>
    <w:tmpl w:val="BA2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D4CB4"/>
    <w:multiLevelType w:val="hybridMultilevel"/>
    <w:tmpl w:val="963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515E4"/>
    <w:multiLevelType w:val="hybridMultilevel"/>
    <w:tmpl w:val="1D00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5579B"/>
    <w:multiLevelType w:val="multilevel"/>
    <w:tmpl w:val="368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4033D"/>
    <w:multiLevelType w:val="hybridMultilevel"/>
    <w:tmpl w:val="F4A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6485D"/>
    <w:multiLevelType w:val="multilevel"/>
    <w:tmpl w:val="310E4CB2"/>
    <w:lvl w:ilvl="0">
      <w:start w:val="2"/>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0" w15:restartNumberingAfterBreak="0">
    <w:nsid w:val="589066B1"/>
    <w:multiLevelType w:val="hybridMultilevel"/>
    <w:tmpl w:val="09CC3968"/>
    <w:lvl w:ilvl="0" w:tplc="AFB06A9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84DAE"/>
    <w:multiLevelType w:val="hybridMultilevel"/>
    <w:tmpl w:val="98325B80"/>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84932"/>
    <w:multiLevelType w:val="hybridMultilevel"/>
    <w:tmpl w:val="345ADA24"/>
    <w:lvl w:ilvl="0" w:tplc="35B24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93B64"/>
    <w:multiLevelType w:val="hybridMultilevel"/>
    <w:tmpl w:val="8A50889A"/>
    <w:lvl w:ilvl="0" w:tplc="2A764306">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E1083"/>
    <w:multiLevelType w:val="hybridMultilevel"/>
    <w:tmpl w:val="37B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70005"/>
    <w:multiLevelType w:val="hybridMultilevel"/>
    <w:tmpl w:val="FE84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D714FA"/>
    <w:multiLevelType w:val="hybridMultilevel"/>
    <w:tmpl w:val="C6C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D0BD0"/>
    <w:multiLevelType w:val="hybridMultilevel"/>
    <w:tmpl w:val="85465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7B61C1"/>
    <w:multiLevelType w:val="hybridMultilevel"/>
    <w:tmpl w:val="E4D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D67DE"/>
    <w:multiLevelType w:val="hybridMultilevel"/>
    <w:tmpl w:val="84B0F24C"/>
    <w:lvl w:ilvl="0" w:tplc="F8BE5C88">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6E2250"/>
    <w:multiLevelType w:val="hybridMultilevel"/>
    <w:tmpl w:val="FE6C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358CA"/>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2" w15:restartNumberingAfterBreak="0">
    <w:nsid w:val="7F7D414E"/>
    <w:multiLevelType w:val="hybridMultilevel"/>
    <w:tmpl w:val="232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2"/>
  </w:num>
  <w:num w:numId="4">
    <w:abstractNumId w:val="24"/>
  </w:num>
  <w:num w:numId="5">
    <w:abstractNumId w:val="15"/>
  </w:num>
  <w:num w:numId="6">
    <w:abstractNumId w:val="8"/>
  </w:num>
  <w:num w:numId="7">
    <w:abstractNumId w:val="28"/>
  </w:num>
  <w:num w:numId="8">
    <w:abstractNumId w:val="30"/>
  </w:num>
  <w:num w:numId="9">
    <w:abstractNumId w:val="27"/>
  </w:num>
  <w:num w:numId="10">
    <w:abstractNumId w:val="22"/>
  </w:num>
  <w:num w:numId="11">
    <w:abstractNumId w:val="26"/>
  </w:num>
  <w:num w:numId="12">
    <w:abstractNumId w:val="18"/>
  </w:num>
  <w:num w:numId="13">
    <w:abstractNumId w:val="14"/>
  </w:num>
  <w:num w:numId="14">
    <w:abstractNumId w:val="6"/>
  </w:num>
  <w:num w:numId="15">
    <w:abstractNumId w:val="17"/>
  </w:num>
  <w:num w:numId="16">
    <w:abstractNumId w:val="9"/>
  </w:num>
  <w:num w:numId="17">
    <w:abstractNumId w:val="4"/>
  </w:num>
  <w:num w:numId="18">
    <w:abstractNumId w:val="21"/>
  </w:num>
  <w:num w:numId="19">
    <w:abstractNumId w:val="20"/>
  </w:num>
  <w:num w:numId="20">
    <w:abstractNumId w:val="29"/>
  </w:num>
  <w:num w:numId="21">
    <w:abstractNumId w:val="3"/>
  </w:num>
  <w:num w:numId="22">
    <w:abstractNumId w:val="0"/>
  </w:num>
  <w:num w:numId="23">
    <w:abstractNumId w:val="31"/>
  </w:num>
  <w:num w:numId="24">
    <w:abstractNumId w:val="16"/>
  </w:num>
  <w:num w:numId="25">
    <w:abstractNumId w:val="25"/>
  </w:num>
  <w:num w:numId="26">
    <w:abstractNumId w:val="13"/>
  </w:num>
  <w:num w:numId="27">
    <w:abstractNumId w:val="10"/>
  </w:num>
  <w:num w:numId="28">
    <w:abstractNumId w:val="23"/>
  </w:num>
  <w:num w:numId="29">
    <w:abstractNumId w:val="11"/>
  </w:num>
  <w:num w:numId="30">
    <w:abstractNumId w:val="7"/>
  </w:num>
  <w:num w:numId="31">
    <w:abstractNumId w:val="12"/>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C2"/>
    <w:rsid w:val="000005A9"/>
    <w:rsid w:val="00003A31"/>
    <w:rsid w:val="00013801"/>
    <w:rsid w:val="00020029"/>
    <w:rsid w:val="00032F68"/>
    <w:rsid w:val="00044BEB"/>
    <w:rsid w:val="00055FB1"/>
    <w:rsid w:val="0006496C"/>
    <w:rsid w:val="00070A1A"/>
    <w:rsid w:val="000867A6"/>
    <w:rsid w:val="00092C2C"/>
    <w:rsid w:val="00093A3A"/>
    <w:rsid w:val="000B0687"/>
    <w:rsid w:val="000B32B5"/>
    <w:rsid w:val="000B4CBA"/>
    <w:rsid w:val="000C2174"/>
    <w:rsid w:val="000D1C84"/>
    <w:rsid w:val="000D586D"/>
    <w:rsid w:val="000E2F9A"/>
    <w:rsid w:val="000E332A"/>
    <w:rsid w:val="000F1CEE"/>
    <w:rsid w:val="000F2DB4"/>
    <w:rsid w:val="000F6B37"/>
    <w:rsid w:val="000F710E"/>
    <w:rsid w:val="00106527"/>
    <w:rsid w:val="00107986"/>
    <w:rsid w:val="00121A6A"/>
    <w:rsid w:val="00122823"/>
    <w:rsid w:val="00122D36"/>
    <w:rsid w:val="00123FDE"/>
    <w:rsid w:val="00131065"/>
    <w:rsid w:val="001331DF"/>
    <w:rsid w:val="001337F5"/>
    <w:rsid w:val="00156136"/>
    <w:rsid w:val="00161785"/>
    <w:rsid w:val="00161A60"/>
    <w:rsid w:val="00165D2D"/>
    <w:rsid w:val="00190B8A"/>
    <w:rsid w:val="001967B5"/>
    <w:rsid w:val="00196C06"/>
    <w:rsid w:val="001A3235"/>
    <w:rsid w:val="001A3A06"/>
    <w:rsid w:val="001C5940"/>
    <w:rsid w:val="001D123D"/>
    <w:rsid w:val="001D1E33"/>
    <w:rsid w:val="001D71FF"/>
    <w:rsid w:val="001E1F46"/>
    <w:rsid w:val="001E6AF7"/>
    <w:rsid w:val="001E7AA4"/>
    <w:rsid w:val="001F228C"/>
    <w:rsid w:val="001F6A81"/>
    <w:rsid w:val="00207A22"/>
    <w:rsid w:val="0021066F"/>
    <w:rsid w:val="00214EEA"/>
    <w:rsid w:val="002159B1"/>
    <w:rsid w:val="00216B92"/>
    <w:rsid w:val="002218E8"/>
    <w:rsid w:val="002335EB"/>
    <w:rsid w:val="0024085B"/>
    <w:rsid w:val="00242CC7"/>
    <w:rsid w:val="00243FE8"/>
    <w:rsid w:val="00251C36"/>
    <w:rsid w:val="00255C15"/>
    <w:rsid w:val="002651A5"/>
    <w:rsid w:val="00266058"/>
    <w:rsid w:val="002664BA"/>
    <w:rsid w:val="0027048C"/>
    <w:rsid w:val="00275E4F"/>
    <w:rsid w:val="002766AE"/>
    <w:rsid w:val="00281203"/>
    <w:rsid w:val="00282615"/>
    <w:rsid w:val="002845B7"/>
    <w:rsid w:val="00284A58"/>
    <w:rsid w:val="00292FF4"/>
    <w:rsid w:val="002A1619"/>
    <w:rsid w:val="002A58DC"/>
    <w:rsid w:val="002B22FC"/>
    <w:rsid w:val="002B3309"/>
    <w:rsid w:val="002B35A4"/>
    <w:rsid w:val="002C4473"/>
    <w:rsid w:val="002C6957"/>
    <w:rsid w:val="002D0128"/>
    <w:rsid w:val="002F4150"/>
    <w:rsid w:val="002F4A38"/>
    <w:rsid w:val="002F5BA8"/>
    <w:rsid w:val="002F6A06"/>
    <w:rsid w:val="0031174E"/>
    <w:rsid w:val="00315A8A"/>
    <w:rsid w:val="003366C0"/>
    <w:rsid w:val="00342E6E"/>
    <w:rsid w:val="0034467F"/>
    <w:rsid w:val="003533CB"/>
    <w:rsid w:val="00353D8D"/>
    <w:rsid w:val="0035682F"/>
    <w:rsid w:val="00361D64"/>
    <w:rsid w:val="00365F4C"/>
    <w:rsid w:val="0036703F"/>
    <w:rsid w:val="003709EE"/>
    <w:rsid w:val="00371114"/>
    <w:rsid w:val="003736DF"/>
    <w:rsid w:val="00373EBA"/>
    <w:rsid w:val="003851D6"/>
    <w:rsid w:val="00387019"/>
    <w:rsid w:val="00390B5A"/>
    <w:rsid w:val="00393011"/>
    <w:rsid w:val="00395A5C"/>
    <w:rsid w:val="003B081A"/>
    <w:rsid w:val="003C5E4A"/>
    <w:rsid w:val="003C5F06"/>
    <w:rsid w:val="003C644B"/>
    <w:rsid w:val="003D0627"/>
    <w:rsid w:val="003D1562"/>
    <w:rsid w:val="003D2BE4"/>
    <w:rsid w:val="003D40C4"/>
    <w:rsid w:val="003D7806"/>
    <w:rsid w:val="003E2109"/>
    <w:rsid w:val="003F1EA5"/>
    <w:rsid w:val="003F248F"/>
    <w:rsid w:val="003F40C8"/>
    <w:rsid w:val="0040229F"/>
    <w:rsid w:val="004126CF"/>
    <w:rsid w:val="00414637"/>
    <w:rsid w:val="00414F2E"/>
    <w:rsid w:val="0041775D"/>
    <w:rsid w:val="00421D6B"/>
    <w:rsid w:val="00426364"/>
    <w:rsid w:val="004449B9"/>
    <w:rsid w:val="00452EEB"/>
    <w:rsid w:val="00453D8B"/>
    <w:rsid w:val="004565D9"/>
    <w:rsid w:val="00460DD0"/>
    <w:rsid w:val="00467143"/>
    <w:rsid w:val="0047337E"/>
    <w:rsid w:val="00473410"/>
    <w:rsid w:val="00480DC9"/>
    <w:rsid w:val="004848ED"/>
    <w:rsid w:val="00491851"/>
    <w:rsid w:val="004957FD"/>
    <w:rsid w:val="004A2257"/>
    <w:rsid w:val="004A52E8"/>
    <w:rsid w:val="004A60E7"/>
    <w:rsid w:val="004B2283"/>
    <w:rsid w:val="004B7028"/>
    <w:rsid w:val="004D33EE"/>
    <w:rsid w:val="004D791F"/>
    <w:rsid w:val="004E3667"/>
    <w:rsid w:val="004E425A"/>
    <w:rsid w:val="004E53C1"/>
    <w:rsid w:val="00510D8D"/>
    <w:rsid w:val="005130E1"/>
    <w:rsid w:val="00520115"/>
    <w:rsid w:val="00522B18"/>
    <w:rsid w:val="00525355"/>
    <w:rsid w:val="005261E1"/>
    <w:rsid w:val="00531442"/>
    <w:rsid w:val="0054165C"/>
    <w:rsid w:val="00545A71"/>
    <w:rsid w:val="00551A40"/>
    <w:rsid w:val="00554176"/>
    <w:rsid w:val="00564652"/>
    <w:rsid w:val="00565F75"/>
    <w:rsid w:val="00591976"/>
    <w:rsid w:val="00592698"/>
    <w:rsid w:val="005939C9"/>
    <w:rsid w:val="005C6684"/>
    <w:rsid w:val="005D7FF2"/>
    <w:rsid w:val="005E7415"/>
    <w:rsid w:val="005E7AAD"/>
    <w:rsid w:val="005E7AFE"/>
    <w:rsid w:val="005E7EF0"/>
    <w:rsid w:val="005F724C"/>
    <w:rsid w:val="00600F05"/>
    <w:rsid w:val="006229FC"/>
    <w:rsid w:val="00627478"/>
    <w:rsid w:val="00627FF6"/>
    <w:rsid w:val="00630067"/>
    <w:rsid w:val="00634608"/>
    <w:rsid w:val="00640354"/>
    <w:rsid w:val="00646361"/>
    <w:rsid w:val="006504F4"/>
    <w:rsid w:val="0065161A"/>
    <w:rsid w:val="00661230"/>
    <w:rsid w:val="00662891"/>
    <w:rsid w:val="006659FD"/>
    <w:rsid w:val="006665A3"/>
    <w:rsid w:val="006670D1"/>
    <w:rsid w:val="006720EC"/>
    <w:rsid w:val="00676B42"/>
    <w:rsid w:val="00680341"/>
    <w:rsid w:val="00683079"/>
    <w:rsid w:val="0068482B"/>
    <w:rsid w:val="006C15C2"/>
    <w:rsid w:val="006D6BCD"/>
    <w:rsid w:val="006D6E42"/>
    <w:rsid w:val="00701ADC"/>
    <w:rsid w:val="007116A6"/>
    <w:rsid w:val="0072116D"/>
    <w:rsid w:val="007218B6"/>
    <w:rsid w:val="00722E0F"/>
    <w:rsid w:val="00724810"/>
    <w:rsid w:val="00726107"/>
    <w:rsid w:val="007275D3"/>
    <w:rsid w:val="00735B63"/>
    <w:rsid w:val="007362BF"/>
    <w:rsid w:val="00743627"/>
    <w:rsid w:val="00747FD4"/>
    <w:rsid w:val="0075042A"/>
    <w:rsid w:val="0075273B"/>
    <w:rsid w:val="00757CCD"/>
    <w:rsid w:val="00762433"/>
    <w:rsid w:val="00766E20"/>
    <w:rsid w:val="00771EBF"/>
    <w:rsid w:val="00783F40"/>
    <w:rsid w:val="00784FB8"/>
    <w:rsid w:val="00794CAF"/>
    <w:rsid w:val="00796DF9"/>
    <w:rsid w:val="007A0E7D"/>
    <w:rsid w:val="007A2827"/>
    <w:rsid w:val="007B0990"/>
    <w:rsid w:val="007B34DA"/>
    <w:rsid w:val="007B7DB0"/>
    <w:rsid w:val="007C01F6"/>
    <w:rsid w:val="007C04DD"/>
    <w:rsid w:val="007C7A18"/>
    <w:rsid w:val="007D502A"/>
    <w:rsid w:val="007D5A11"/>
    <w:rsid w:val="007E26D2"/>
    <w:rsid w:val="007F7803"/>
    <w:rsid w:val="007F7EA6"/>
    <w:rsid w:val="00807B03"/>
    <w:rsid w:val="00816884"/>
    <w:rsid w:val="00822F15"/>
    <w:rsid w:val="0082743F"/>
    <w:rsid w:val="0084705B"/>
    <w:rsid w:val="0085057B"/>
    <w:rsid w:val="0085344C"/>
    <w:rsid w:val="0085397A"/>
    <w:rsid w:val="00854B0E"/>
    <w:rsid w:val="0085650E"/>
    <w:rsid w:val="0086247C"/>
    <w:rsid w:val="0086346A"/>
    <w:rsid w:val="00874BBB"/>
    <w:rsid w:val="00883B70"/>
    <w:rsid w:val="008939D2"/>
    <w:rsid w:val="0089417A"/>
    <w:rsid w:val="008A05AA"/>
    <w:rsid w:val="008B07F4"/>
    <w:rsid w:val="008B5690"/>
    <w:rsid w:val="008C0A58"/>
    <w:rsid w:val="008C35C8"/>
    <w:rsid w:val="008C53E1"/>
    <w:rsid w:val="008C6ED5"/>
    <w:rsid w:val="008D4B91"/>
    <w:rsid w:val="008E2244"/>
    <w:rsid w:val="008E54A1"/>
    <w:rsid w:val="00906162"/>
    <w:rsid w:val="00917CE1"/>
    <w:rsid w:val="00921FC3"/>
    <w:rsid w:val="00926C8D"/>
    <w:rsid w:val="009303F8"/>
    <w:rsid w:val="00930F43"/>
    <w:rsid w:val="00942D49"/>
    <w:rsid w:val="00952502"/>
    <w:rsid w:val="00967E91"/>
    <w:rsid w:val="00975034"/>
    <w:rsid w:val="009764A6"/>
    <w:rsid w:val="009827D5"/>
    <w:rsid w:val="00987BC4"/>
    <w:rsid w:val="00990325"/>
    <w:rsid w:val="0099032F"/>
    <w:rsid w:val="009952CB"/>
    <w:rsid w:val="009A1DBE"/>
    <w:rsid w:val="009A27EE"/>
    <w:rsid w:val="009A2878"/>
    <w:rsid w:val="009A6547"/>
    <w:rsid w:val="009B1658"/>
    <w:rsid w:val="009B3E6F"/>
    <w:rsid w:val="009B4B6F"/>
    <w:rsid w:val="009B64F7"/>
    <w:rsid w:val="009D4F19"/>
    <w:rsid w:val="009E448E"/>
    <w:rsid w:val="009E72EF"/>
    <w:rsid w:val="009EAA47"/>
    <w:rsid w:val="009F5CFC"/>
    <w:rsid w:val="00A00732"/>
    <w:rsid w:val="00A0089E"/>
    <w:rsid w:val="00A01566"/>
    <w:rsid w:val="00A05B26"/>
    <w:rsid w:val="00A20C4C"/>
    <w:rsid w:val="00A241CC"/>
    <w:rsid w:val="00A26D67"/>
    <w:rsid w:val="00A44E2D"/>
    <w:rsid w:val="00A533E6"/>
    <w:rsid w:val="00A56CD2"/>
    <w:rsid w:val="00A57FB4"/>
    <w:rsid w:val="00A62EB8"/>
    <w:rsid w:val="00A64B53"/>
    <w:rsid w:val="00A77114"/>
    <w:rsid w:val="00A80BEF"/>
    <w:rsid w:val="00A845C2"/>
    <w:rsid w:val="00A87957"/>
    <w:rsid w:val="00A87986"/>
    <w:rsid w:val="00A92142"/>
    <w:rsid w:val="00AA5C6D"/>
    <w:rsid w:val="00AA635D"/>
    <w:rsid w:val="00AB6025"/>
    <w:rsid w:val="00AB786C"/>
    <w:rsid w:val="00AC3134"/>
    <w:rsid w:val="00AC4F3B"/>
    <w:rsid w:val="00AC6C85"/>
    <w:rsid w:val="00AD0641"/>
    <w:rsid w:val="00AD5FA3"/>
    <w:rsid w:val="00AE1175"/>
    <w:rsid w:val="00B01AE6"/>
    <w:rsid w:val="00B04E77"/>
    <w:rsid w:val="00B0708F"/>
    <w:rsid w:val="00B0770E"/>
    <w:rsid w:val="00B20D45"/>
    <w:rsid w:val="00B20F04"/>
    <w:rsid w:val="00B24409"/>
    <w:rsid w:val="00B25BF4"/>
    <w:rsid w:val="00B25D79"/>
    <w:rsid w:val="00B266B0"/>
    <w:rsid w:val="00B37DE0"/>
    <w:rsid w:val="00B457F2"/>
    <w:rsid w:val="00B54331"/>
    <w:rsid w:val="00B72EB6"/>
    <w:rsid w:val="00B7332C"/>
    <w:rsid w:val="00B83B4C"/>
    <w:rsid w:val="00B936DC"/>
    <w:rsid w:val="00B93AA7"/>
    <w:rsid w:val="00B93EAD"/>
    <w:rsid w:val="00B97126"/>
    <w:rsid w:val="00BA2BCB"/>
    <w:rsid w:val="00BA4CF6"/>
    <w:rsid w:val="00BB0E16"/>
    <w:rsid w:val="00BB57A1"/>
    <w:rsid w:val="00BB66A2"/>
    <w:rsid w:val="00BD15FA"/>
    <w:rsid w:val="00BD4223"/>
    <w:rsid w:val="00BE5907"/>
    <w:rsid w:val="00BE7ABE"/>
    <w:rsid w:val="00BF0DF7"/>
    <w:rsid w:val="00BF7F62"/>
    <w:rsid w:val="00C04D15"/>
    <w:rsid w:val="00C1139D"/>
    <w:rsid w:val="00C12328"/>
    <w:rsid w:val="00C12432"/>
    <w:rsid w:val="00C15B76"/>
    <w:rsid w:val="00C31CA9"/>
    <w:rsid w:val="00C421D2"/>
    <w:rsid w:val="00C52E8A"/>
    <w:rsid w:val="00C54AED"/>
    <w:rsid w:val="00C56AE9"/>
    <w:rsid w:val="00C64527"/>
    <w:rsid w:val="00C823BA"/>
    <w:rsid w:val="00C9070A"/>
    <w:rsid w:val="00C90AD8"/>
    <w:rsid w:val="00C9272E"/>
    <w:rsid w:val="00C92FA8"/>
    <w:rsid w:val="00C93064"/>
    <w:rsid w:val="00CA15AC"/>
    <w:rsid w:val="00CA2176"/>
    <w:rsid w:val="00CA3195"/>
    <w:rsid w:val="00CB6B33"/>
    <w:rsid w:val="00CC21E0"/>
    <w:rsid w:val="00CE2F09"/>
    <w:rsid w:val="00CE5D6D"/>
    <w:rsid w:val="00CE5FC7"/>
    <w:rsid w:val="00CE78BC"/>
    <w:rsid w:val="00CF0BDC"/>
    <w:rsid w:val="00CF2DC8"/>
    <w:rsid w:val="00D01DF3"/>
    <w:rsid w:val="00D04709"/>
    <w:rsid w:val="00D13834"/>
    <w:rsid w:val="00D16240"/>
    <w:rsid w:val="00D21D0D"/>
    <w:rsid w:val="00D25C21"/>
    <w:rsid w:val="00D35078"/>
    <w:rsid w:val="00D47B80"/>
    <w:rsid w:val="00D50302"/>
    <w:rsid w:val="00D53DDF"/>
    <w:rsid w:val="00D54A29"/>
    <w:rsid w:val="00D6604F"/>
    <w:rsid w:val="00D71CD7"/>
    <w:rsid w:val="00D73C07"/>
    <w:rsid w:val="00D81CF8"/>
    <w:rsid w:val="00D83629"/>
    <w:rsid w:val="00D93F83"/>
    <w:rsid w:val="00D94CC1"/>
    <w:rsid w:val="00DA0C62"/>
    <w:rsid w:val="00DA5876"/>
    <w:rsid w:val="00DA6317"/>
    <w:rsid w:val="00DA7470"/>
    <w:rsid w:val="00DB1BBC"/>
    <w:rsid w:val="00DB46D9"/>
    <w:rsid w:val="00DC5C5A"/>
    <w:rsid w:val="00DD1B1A"/>
    <w:rsid w:val="00DD3172"/>
    <w:rsid w:val="00DD629C"/>
    <w:rsid w:val="00E00F26"/>
    <w:rsid w:val="00E07AC5"/>
    <w:rsid w:val="00E165BB"/>
    <w:rsid w:val="00E37E84"/>
    <w:rsid w:val="00E40352"/>
    <w:rsid w:val="00E41566"/>
    <w:rsid w:val="00E43CE5"/>
    <w:rsid w:val="00E51D4E"/>
    <w:rsid w:val="00E524FD"/>
    <w:rsid w:val="00E56815"/>
    <w:rsid w:val="00E625D7"/>
    <w:rsid w:val="00E62C44"/>
    <w:rsid w:val="00E724C6"/>
    <w:rsid w:val="00E84145"/>
    <w:rsid w:val="00E87A36"/>
    <w:rsid w:val="00E95042"/>
    <w:rsid w:val="00E9548F"/>
    <w:rsid w:val="00E9683E"/>
    <w:rsid w:val="00EA5308"/>
    <w:rsid w:val="00EA552F"/>
    <w:rsid w:val="00EB4038"/>
    <w:rsid w:val="00EB4838"/>
    <w:rsid w:val="00EB625A"/>
    <w:rsid w:val="00EC178B"/>
    <w:rsid w:val="00EC243C"/>
    <w:rsid w:val="00ED6E12"/>
    <w:rsid w:val="00EF0A5A"/>
    <w:rsid w:val="00F02057"/>
    <w:rsid w:val="00F05FBE"/>
    <w:rsid w:val="00F14897"/>
    <w:rsid w:val="00F26F70"/>
    <w:rsid w:val="00F34AFD"/>
    <w:rsid w:val="00F4061E"/>
    <w:rsid w:val="00F43B57"/>
    <w:rsid w:val="00F50CCA"/>
    <w:rsid w:val="00F52B0A"/>
    <w:rsid w:val="00F6095A"/>
    <w:rsid w:val="00F7369D"/>
    <w:rsid w:val="00F751E7"/>
    <w:rsid w:val="00F75A79"/>
    <w:rsid w:val="00F75C24"/>
    <w:rsid w:val="00F77146"/>
    <w:rsid w:val="00F77EFB"/>
    <w:rsid w:val="00F80A3C"/>
    <w:rsid w:val="00F80E03"/>
    <w:rsid w:val="00F814DD"/>
    <w:rsid w:val="00F91441"/>
    <w:rsid w:val="00F93E0C"/>
    <w:rsid w:val="00F97870"/>
    <w:rsid w:val="00FA3631"/>
    <w:rsid w:val="00FB08B4"/>
    <w:rsid w:val="00FC3660"/>
    <w:rsid w:val="00FD28D7"/>
    <w:rsid w:val="00FE3B4E"/>
    <w:rsid w:val="00FE4DE3"/>
    <w:rsid w:val="00FF0F94"/>
    <w:rsid w:val="00FF1AB1"/>
    <w:rsid w:val="00FF6CE6"/>
    <w:rsid w:val="01563962"/>
    <w:rsid w:val="039754AA"/>
    <w:rsid w:val="0532F335"/>
    <w:rsid w:val="056ECDAE"/>
    <w:rsid w:val="0961A1A3"/>
    <w:rsid w:val="0C01F850"/>
    <w:rsid w:val="10D4EA6E"/>
    <w:rsid w:val="12BAF63C"/>
    <w:rsid w:val="1551365B"/>
    <w:rsid w:val="1A239A5F"/>
    <w:rsid w:val="1A4727C4"/>
    <w:rsid w:val="1F1A98E7"/>
    <w:rsid w:val="29CE667D"/>
    <w:rsid w:val="2FE8D701"/>
    <w:rsid w:val="34DF5197"/>
    <w:rsid w:val="3796C007"/>
    <w:rsid w:val="380CB90F"/>
    <w:rsid w:val="3A46A9C7"/>
    <w:rsid w:val="3B152AA8"/>
    <w:rsid w:val="3FB22A0C"/>
    <w:rsid w:val="413E2070"/>
    <w:rsid w:val="42ECBFE1"/>
    <w:rsid w:val="44660723"/>
    <w:rsid w:val="45E10E60"/>
    <w:rsid w:val="4698AA1B"/>
    <w:rsid w:val="4761FF42"/>
    <w:rsid w:val="49535645"/>
    <w:rsid w:val="49AE69C9"/>
    <w:rsid w:val="4A8DE877"/>
    <w:rsid w:val="4C714BD0"/>
    <w:rsid w:val="4F0BD5DE"/>
    <w:rsid w:val="4F53E8CA"/>
    <w:rsid w:val="4F85ACE4"/>
    <w:rsid w:val="4F92EC69"/>
    <w:rsid w:val="50B5C8A5"/>
    <w:rsid w:val="55D21AB3"/>
    <w:rsid w:val="561249F3"/>
    <w:rsid w:val="58BFAF96"/>
    <w:rsid w:val="5984132B"/>
    <w:rsid w:val="5EC1FF26"/>
    <w:rsid w:val="5F793FE0"/>
    <w:rsid w:val="61F99FE8"/>
    <w:rsid w:val="62A99ADC"/>
    <w:rsid w:val="6518184D"/>
    <w:rsid w:val="674AAE0F"/>
    <w:rsid w:val="67C0A717"/>
    <w:rsid w:val="67C343AA"/>
    <w:rsid w:val="6A36AD74"/>
    <w:rsid w:val="6A76DCB4"/>
    <w:rsid w:val="6AD72D07"/>
    <w:rsid w:val="6D711533"/>
    <w:rsid w:val="6EBEFA93"/>
    <w:rsid w:val="71466E8B"/>
    <w:rsid w:val="723A317E"/>
    <w:rsid w:val="765287D4"/>
    <w:rsid w:val="7842E2EB"/>
    <w:rsid w:val="7874D911"/>
    <w:rsid w:val="7BC7EB67"/>
    <w:rsid w:val="7C910EB8"/>
    <w:rsid w:val="7DD9D15B"/>
    <w:rsid w:val="7E2CD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764F1AF"/>
  <w15:chartTrackingRefBased/>
  <w15:docId w15:val="{4E09A2E8-F416-44CB-A6E5-3DAADEE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EB"/>
  </w:style>
  <w:style w:type="paragraph" w:styleId="Heading1">
    <w:name w:val="heading 1"/>
    <w:basedOn w:val="Normal"/>
    <w:next w:val="Normal"/>
    <w:link w:val="Heading1Char"/>
    <w:uiPriority w:val="9"/>
    <w:qFormat/>
    <w:rsid w:val="00E37E8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37E8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37E8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7E8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37E8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37E8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37E8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37E8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37E8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7FB4"/>
    <w:pPr>
      <w:ind w:left="720"/>
      <w:contextualSpacing/>
    </w:pPr>
  </w:style>
  <w:style w:type="paragraph" w:styleId="Header">
    <w:name w:val="header"/>
    <w:basedOn w:val="Normal"/>
    <w:link w:val="HeaderChar"/>
    <w:uiPriority w:val="99"/>
    <w:unhideWhenUsed/>
    <w:rsid w:val="004D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1F"/>
  </w:style>
  <w:style w:type="paragraph" w:styleId="Footer">
    <w:name w:val="footer"/>
    <w:basedOn w:val="Normal"/>
    <w:link w:val="FooterChar"/>
    <w:uiPriority w:val="99"/>
    <w:unhideWhenUsed/>
    <w:rsid w:val="004D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1F"/>
  </w:style>
  <w:style w:type="character" w:customStyle="1" w:styleId="Heading1Char">
    <w:name w:val="Heading 1 Char"/>
    <w:basedOn w:val="DefaultParagraphFont"/>
    <w:link w:val="Heading1"/>
    <w:uiPriority w:val="9"/>
    <w:rsid w:val="00E37E84"/>
    <w:rPr>
      <w:smallCaps/>
      <w:spacing w:val="5"/>
      <w:sz w:val="32"/>
      <w:szCs w:val="32"/>
    </w:rPr>
  </w:style>
  <w:style w:type="character" w:customStyle="1" w:styleId="Heading2Char">
    <w:name w:val="Heading 2 Char"/>
    <w:basedOn w:val="DefaultParagraphFont"/>
    <w:link w:val="Heading2"/>
    <w:uiPriority w:val="9"/>
    <w:rsid w:val="00E37E84"/>
    <w:rPr>
      <w:smallCaps/>
      <w:spacing w:val="5"/>
      <w:sz w:val="28"/>
      <w:szCs w:val="28"/>
    </w:rPr>
  </w:style>
  <w:style w:type="character" w:customStyle="1" w:styleId="Heading3Char">
    <w:name w:val="Heading 3 Char"/>
    <w:basedOn w:val="DefaultParagraphFont"/>
    <w:link w:val="Heading3"/>
    <w:uiPriority w:val="9"/>
    <w:semiHidden/>
    <w:rsid w:val="00E37E84"/>
    <w:rPr>
      <w:smallCaps/>
      <w:spacing w:val="5"/>
      <w:sz w:val="24"/>
      <w:szCs w:val="24"/>
    </w:rPr>
  </w:style>
  <w:style w:type="character" w:customStyle="1" w:styleId="Heading4Char">
    <w:name w:val="Heading 4 Char"/>
    <w:basedOn w:val="DefaultParagraphFont"/>
    <w:link w:val="Heading4"/>
    <w:uiPriority w:val="9"/>
    <w:semiHidden/>
    <w:rsid w:val="00E37E84"/>
    <w:rPr>
      <w:i/>
      <w:iCs/>
      <w:smallCaps/>
      <w:spacing w:val="10"/>
      <w:sz w:val="22"/>
      <w:szCs w:val="22"/>
    </w:rPr>
  </w:style>
  <w:style w:type="character" w:customStyle="1" w:styleId="Heading5Char">
    <w:name w:val="Heading 5 Char"/>
    <w:basedOn w:val="DefaultParagraphFont"/>
    <w:link w:val="Heading5"/>
    <w:uiPriority w:val="9"/>
    <w:semiHidden/>
    <w:rsid w:val="00E37E8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37E8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37E84"/>
    <w:rPr>
      <w:b/>
      <w:bCs/>
      <w:smallCaps/>
      <w:color w:val="70AD47" w:themeColor="accent6"/>
      <w:spacing w:val="10"/>
    </w:rPr>
  </w:style>
  <w:style w:type="character" w:customStyle="1" w:styleId="Heading8Char">
    <w:name w:val="Heading 8 Char"/>
    <w:basedOn w:val="DefaultParagraphFont"/>
    <w:link w:val="Heading8"/>
    <w:uiPriority w:val="9"/>
    <w:semiHidden/>
    <w:rsid w:val="00E37E84"/>
    <w:rPr>
      <w:b/>
      <w:bCs/>
      <w:i/>
      <w:iCs/>
      <w:smallCaps/>
      <w:color w:val="538135" w:themeColor="accent6" w:themeShade="BF"/>
    </w:rPr>
  </w:style>
  <w:style w:type="character" w:customStyle="1" w:styleId="Heading9Char">
    <w:name w:val="Heading 9 Char"/>
    <w:basedOn w:val="DefaultParagraphFont"/>
    <w:link w:val="Heading9"/>
    <w:uiPriority w:val="9"/>
    <w:semiHidden/>
    <w:rsid w:val="00E37E84"/>
    <w:rPr>
      <w:b/>
      <w:bCs/>
      <w:i/>
      <w:iCs/>
      <w:smallCaps/>
      <w:color w:val="385623" w:themeColor="accent6" w:themeShade="80"/>
    </w:rPr>
  </w:style>
  <w:style w:type="paragraph" w:styleId="Caption">
    <w:name w:val="caption"/>
    <w:basedOn w:val="Normal"/>
    <w:next w:val="Normal"/>
    <w:uiPriority w:val="35"/>
    <w:semiHidden/>
    <w:unhideWhenUsed/>
    <w:qFormat/>
    <w:rsid w:val="00E37E84"/>
    <w:rPr>
      <w:b/>
      <w:bCs/>
      <w:caps/>
      <w:sz w:val="16"/>
      <w:szCs w:val="16"/>
    </w:rPr>
  </w:style>
  <w:style w:type="paragraph" w:styleId="Title">
    <w:name w:val="Title"/>
    <w:basedOn w:val="Normal"/>
    <w:next w:val="Normal"/>
    <w:link w:val="TitleChar"/>
    <w:uiPriority w:val="10"/>
    <w:qFormat/>
    <w:rsid w:val="00E37E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37E84"/>
    <w:rPr>
      <w:smallCaps/>
      <w:color w:val="262626" w:themeColor="text1" w:themeTint="D9"/>
      <w:sz w:val="52"/>
      <w:szCs w:val="52"/>
    </w:rPr>
  </w:style>
  <w:style w:type="paragraph" w:styleId="Subtitle">
    <w:name w:val="Subtitle"/>
    <w:basedOn w:val="Normal"/>
    <w:next w:val="Normal"/>
    <w:link w:val="SubtitleChar"/>
    <w:uiPriority w:val="11"/>
    <w:qFormat/>
    <w:rsid w:val="00E37E8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7E84"/>
    <w:rPr>
      <w:rFonts w:asciiTheme="majorHAnsi" w:eastAsiaTheme="majorEastAsia" w:hAnsiTheme="majorHAnsi" w:cstheme="majorBidi"/>
    </w:rPr>
  </w:style>
  <w:style w:type="character" w:styleId="Strong">
    <w:name w:val="Strong"/>
    <w:uiPriority w:val="22"/>
    <w:qFormat/>
    <w:rsid w:val="00E37E84"/>
    <w:rPr>
      <w:b/>
      <w:bCs/>
      <w:color w:val="70AD47" w:themeColor="accent6"/>
    </w:rPr>
  </w:style>
  <w:style w:type="character" w:styleId="Emphasis">
    <w:name w:val="Emphasis"/>
    <w:uiPriority w:val="20"/>
    <w:qFormat/>
    <w:rsid w:val="00E37E84"/>
    <w:rPr>
      <w:b/>
      <w:bCs/>
      <w:i/>
      <w:iCs/>
      <w:spacing w:val="10"/>
    </w:rPr>
  </w:style>
  <w:style w:type="paragraph" w:styleId="NoSpacing">
    <w:name w:val="No Spacing"/>
    <w:uiPriority w:val="1"/>
    <w:qFormat/>
    <w:rsid w:val="00E37E84"/>
    <w:pPr>
      <w:spacing w:after="0" w:line="240" w:lineRule="auto"/>
    </w:pPr>
  </w:style>
  <w:style w:type="paragraph" w:styleId="Quote">
    <w:name w:val="Quote"/>
    <w:basedOn w:val="Normal"/>
    <w:next w:val="Normal"/>
    <w:link w:val="QuoteChar"/>
    <w:uiPriority w:val="29"/>
    <w:qFormat/>
    <w:rsid w:val="00E37E84"/>
    <w:rPr>
      <w:i/>
      <w:iCs/>
    </w:rPr>
  </w:style>
  <w:style w:type="character" w:customStyle="1" w:styleId="QuoteChar">
    <w:name w:val="Quote Char"/>
    <w:basedOn w:val="DefaultParagraphFont"/>
    <w:link w:val="Quote"/>
    <w:uiPriority w:val="29"/>
    <w:rsid w:val="00E37E84"/>
    <w:rPr>
      <w:i/>
      <w:iCs/>
    </w:rPr>
  </w:style>
  <w:style w:type="paragraph" w:styleId="IntenseQuote">
    <w:name w:val="Intense Quote"/>
    <w:basedOn w:val="Normal"/>
    <w:next w:val="Normal"/>
    <w:link w:val="IntenseQuoteChar"/>
    <w:uiPriority w:val="30"/>
    <w:qFormat/>
    <w:rsid w:val="00E37E8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37E84"/>
    <w:rPr>
      <w:b/>
      <w:bCs/>
      <w:i/>
      <w:iCs/>
    </w:rPr>
  </w:style>
  <w:style w:type="character" w:styleId="SubtleEmphasis">
    <w:name w:val="Subtle Emphasis"/>
    <w:uiPriority w:val="19"/>
    <w:qFormat/>
    <w:rsid w:val="00E37E84"/>
    <w:rPr>
      <w:i/>
      <w:iCs/>
    </w:rPr>
  </w:style>
  <w:style w:type="character" w:styleId="IntenseEmphasis">
    <w:name w:val="Intense Emphasis"/>
    <w:uiPriority w:val="21"/>
    <w:qFormat/>
    <w:rsid w:val="00E37E84"/>
    <w:rPr>
      <w:b/>
      <w:bCs/>
      <w:i/>
      <w:iCs/>
      <w:color w:val="70AD47" w:themeColor="accent6"/>
      <w:spacing w:val="10"/>
    </w:rPr>
  </w:style>
  <w:style w:type="character" w:styleId="SubtleReference">
    <w:name w:val="Subtle Reference"/>
    <w:uiPriority w:val="31"/>
    <w:qFormat/>
    <w:rsid w:val="00E37E84"/>
    <w:rPr>
      <w:b/>
      <w:bCs/>
    </w:rPr>
  </w:style>
  <w:style w:type="character" w:styleId="IntenseReference">
    <w:name w:val="Intense Reference"/>
    <w:uiPriority w:val="32"/>
    <w:qFormat/>
    <w:rsid w:val="00E37E84"/>
    <w:rPr>
      <w:b/>
      <w:bCs/>
      <w:smallCaps/>
      <w:spacing w:val="5"/>
      <w:sz w:val="22"/>
      <w:szCs w:val="22"/>
      <w:u w:val="single"/>
    </w:rPr>
  </w:style>
  <w:style w:type="character" w:styleId="BookTitle">
    <w:name w:val="Book Title"/>
    <w:uiPriority w:val="33"/>
    <w:qFormat/>
    <w:rsid w:val="00E37E8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37E84"/>
    <w:pPr>
      <w:outlineLvl w:val="9"/>
    </w:pPr>
  </w:style>
  <w:style w:type="paragraph" w:styleId="FootnoteText">
    <w:name w:val="footnote text"/>
    <w:basedOn w:val="Normal"/>
    <w:link w:val="FootnoteTextChar"/>
    <w:uiPriority w:val="99"/>
    <w:semiHidden/>
    <w:unhideWhenUsed/>
    <w:rsid w:val="00510D8D"/>
    <w:pPr>
      <w:spacing w:after="0" w:line="240" w:lineRule="auto"/>
    </w:pPr>
  </w:style>
  <w:style w:type="character" w:customStyle="1" w:styleId="FootnoteTextChar">
    <w:name w:val="Footnote Text Char"/>
    <w:basedOn w:val="DefaultParagraphFont"/>
    <w:link w:val="FootnoteText"/>
    <w:uiPriority w:val="99"/>
    <w:semiHidden/>
    <w:rsid w:val="00510D8D"/>
  </w:style>
  <w:style w:type="character" w:styleId="FootnoteReference">
    <w:name w:val="footnote reference"/>
    <w:basedOn w:val="DefaultParagraphFont"/>
    <w:uiPriority w:val="99"/>
    <w:semiHidden/>
    <w:unhideWhenUsed/>
    <w:rsid w:val="00510D8D"/>
    <w:rPr>
      <w:vertAlign w:val="superscript"/>
    </w:rPr>
  </w:style>
  <w:style w:type="character" w:styleId="Hyperlink">
    <w:name w:val="Hyperlink"/>
    <w:basedOn w:val="DefaultParagraphFont"/>
    <w:uiPriority w:val="99"/>
    <w:unhideWhenUsed/>
    <w:rsid w:val="00510D8D"/>
    <w:rPr>
      <w:color w:val="0563C1" w:themeColor="hyperlink"/>
      <w:u w:val="single"/>
    </w:rPr>
  </w:style>
  <w:style w:type="character" w:customStyle="1" w:styleId="ListParagraphChar">
    <w:name w:val="List Paragraph Char"/>
    <w:basedOn w:val="DefaultParagraphFont"/>
    <w:link w:val="ListParagraph"/>
    <w:uiPriority w:val="34"/>
    <w:locked/>
    <w:rsid w:val="000B4CBA"/>
  </w:style>
  <w:style w:type="table" w:styleId="TableGrid">
    <w:name w:val="Table Grid"/>
    <w:basedOn w:val="TableNormal"/>
    <w:uiPriority w:val="39"/>
    <w:rsid w:val="002159B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ityofOxford">
    <w:name w:val="University of Oxford"/>
    <w:basedOn w:val="TOCHeading"/>
    <w:link w:val="UniversityofOxfordChar"/>
    <w:rsid w:val="005E7AAD"/>
  </w:style>
  <w:style w:type="character" w:customStyle="1" w:styleId="UniversityofOxfordChar">
    <w:name w:val="University of Oxford Char"/>
    <w:basedOn w:val="DefaultParagraphFont"/>
    <w:link w:val="UniversityofOxford"/>
    <w:rsid w:val="005E7AAD"/>
    <w:rPr>
      <w:caps/>
      <w:color w:val="FFFFFF" w:themeColor="background1"/>
      <w:spacing w:val="15"/>
      <w:sz w:val="22"/>
      <w:szCs w:val="22"/>
      <w:shd w:val="clear" w:color="auto" w:fill="002147"/>
    </w:rPr>
  </w:style>
  <w:style w:type="paragraph" w:styleId="TOC1">
    <w:name w:val="toc 1"/>
    <w:basedOn w:val="Normal"/>
    <w:next w:val="Normal"/>
    <w:autoRedefine/>
    <w:uiPriority w:val="39"/>
    <w:unhideWhenUsed/>
    <w:rsid w:val="00BB66A2"/>
    <w:pPr>
      <w:spacing w:after="100"/>
    </w:pPr>
  </w:style>
  <w:style w:type="character" w:styleId="CommentReference">
    <w:name w:val="annotation reference"/>
    <w:basedOn w:val="DefaultParagraphFont"/>
    <w:uiPriority w:val="99"/>
    <w:semiHidden/>
    <w:unhideWhenUsed/>
    <w:rsid w:val="00C1139D"/>
    <w:rPr>
      <w:sz w:val="16"/>
      <w:szCs w:val="16"/>
    </w:rPr>
  </w:style>
  <w:style w:type="paragraph" w:styleId="CommentText">
    <w:name w:val="annotation text"/>
    <w:basedOn w:val="Normal"/>
    <w:link w:val="CommentTextChar"/>
    <w:uiPriority w:val="99"/>
    <w:semiHidden/>
    <w:unhideWhenUsed/>
    <w:rsid w:val="00C1139D"/>
    <w:pPr>
      <w:spacing w:line="240" w:lineRule="auto"/>
    </w:pPr>
  </w:style>
  <w:style w:type="character" w:customStyle="1" w:styleId="CommentTextChar">
    <w:name w:val="Comment Text Char"/>
    <w:basedOn w:val="DefaultParagraphFont"/>
    <w:link w:val="CommentText"/>
    <w:uiPriority w:val="99"/>
    <w:semiHidden/>
    <w:rsid w:val="00C1139D"/>
  </w:style>
  <w:style w:type="paragraph" w:styleId="CommentSubject">
    <w:name w:val="annotation subject"/>
    <w:basedOn w:val="CommentText"/>
    <w:next w:val="CommentText"/>
    <w:link w:val="CommentSubjectChar"/>
    <w:uiPriority w:val="99"/>
    <w:semiHidden/>
    <w:unhideWhenUsed/>
    <w:rsid w:val="00C1139D"/>
    <w:rPr>
      <w:b/>
      <w:bCs/>
    </w:rPr>
  </w:style>
  <w:style w:type="character" w:customStyle="1" w:styleId="CommentSubjectChar">
    <w:name w:val="Comment Subject Char"/>
    <w:basedOn w:val="CommentTextChar"/>
    <w:link w:val="CommentSubject"/>
    <w:uiPriority w:val="99"/>
    <w:semiHidden/>
    <w:rsid w:val="00C1139D"/>
    <w:rPr>
      <w:b/>
      <w:bCs/>
    </w:rPr>
  </w:style>
  <w:style w:type="paragraph" w:styleId="BalloonText">
    <w:name w:val="Balloon Text"/>
    <w:basedOn w:val="Normal"/>
    <w:link w:val="BalloonTextChar"/>
    <w:uiPriority w:val="99"/>
    <w:semiHidden/>
    <w:unhideWhenUsed/>
    <w:rsid w:val="00C1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9D"/>
    <w:rPr>
      <w:rFonts w:ascii="Segoe UI" w:hAnsi="Segoe UI" w:cs="Segoe UI"/>
      <w:sz w:val="18"/>
      <w:szCs w:val="18"/>
    </w:rPr>
  </w:style>
  <w:style w:type="paragraph" w:styleId="TOC2">
    <w:name w:val="toc 2"/>
    <w:basedOn w:val="Normal"/>
    <w:next w:val="Normal"/>
    <w:autoRedefine/>
    <w:uiPriority w:val="39"/>
    <w:unhideWhenUsed/>
    <w:rsid w:val="000E332A"/>
    <w:pPr>
      <w:spacing w:after="100"/>
      <w:ind w:left="200"/>
    </w:pPr>
  </w:style>
  <w:style w:type="paragraph" w:customStyle="1" w:styleId="Default">
    <w:name w:val="Default"/>
    <w:rsid w:val="00B93AA7"/>
    <w:pPr>
      <w:autoSpaceDE w:val="0"/>
      <w:autoSpaceDN w:val="0"/>
      <w:adjustRightInd w:val="0"/>
      <w:spacing w:after="0" w:line="240" w:lineRule="auto"/>
      <w:jc w:val="left"/>
    </w:pPr>
    <w:rPr>
      <w:rFonts w:ascii="NQMZLI+Cambria" w:hAnsi="NQMZLI+Cambria" w:cs="NQMZLI+Cambria"/>
      <w:color w:val="000000"/>
      <w:sz w:val="24"/>
      <w:szCs w:val="24"/>
    </w:rPr>
  </w:style>
  <w:style w:type="character" w:styleId="EndnoteReference">
    <w:name w:val="endnote reference"/>
    <w:basedOn w:val="DefaultParagraphFont"/>
    <w:uiPriority w:val="99"/>
    <w:semiHidden/>
    <w:unhideWhenUsed/>
    <w:rsid w:val="003709EE"/>
    <w:rPr>
      <w:vertAlign w:val="superscript"/>
    </w:rPr>
  </w:style>
  <w:style w:type="character" w:styleId="FollowedHyperlink">
    <w:name w:val="FollowedHyperlink"/>
    <w:basedOn w:val="DefaultParagraphFont"/>
    <w:uiPriority w:val="99"/>
    <w:semiHidden/>
    <w:unhideWhenUsed/>
    <w:rsid w:val="00FE3B4E"/>
    <w:rPr>
      <w:color w:val="954F72" w:themeColor="followedHyperlink"/>
      <w:u w:val="single"/>
    </w:rPr>
  </w:style>
  <w:style w:type="character" w:customStyle="1" w:styleId="UnresolvedMention">
    <w:name w:val="Unresolved Mention"/>
    <w:basedOn w:val="DefaultParagraphFont"/>
    <w:uiPriority w:val="99"/>
    <w:semiHidden/>
    <w:unhideWhenUsed/>
    <w:rsid w:val="00C31CA9"/>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9ECC8764-784B-4658-B57E-91767470852E}">
    <t:Anchor>
      <t:Comment id="1963642796"/>
    </t:Anchor>
    <t:History>
      <t:Event id="{7EBD86B9-F4B1-4A7B-8C59-CAEEC3D62CF5}" time="2021-04-21T14:38:23.091Z">
        <t:Attribution userId="S::bodl2220@ox.ac.uk::d64000c1-5d96-4e78-8fd6-07256e2b78d0" userProvider="AD" userName="Marianna Asatryan"/>
        <t:Anchor>
          <t:Comment id="1927207579"/>
        </t:Anchor>
        <t:Create/>
      </t:Event>
      <t:Event id="{7434B434-9ED5-4F51-B805-651481392055}" time="2021-04-21T14:38:23.091Z">
        <t:Attribution userId="S::bodl2220@ox.ac.uk::d64000c1-5d96-4e78-8fd6-07256e2b78d0" userProvider="AD" userName="Marianna Asatryan"/>
        <t:Anchor>
          <t:Comment id="1927207579"/>
        </t:Anchor>
        <t:Assign userId="S::shug2749@ox.ac.uk::032abb04-fb21-4f1c-8fb5-5f419aa00a42" userProvider="AD" userName="Bryony Collis"/>
      </t:Event>
      <t:Event id="{4511B8D5-F950-4851-8C95-8CF069233695}" time="2021-04-21T14:38:23.091Z">
        <t:Attribution userId="S::bodl2220@ox.ac.uk::d64000c1-5d96-4e78-8fd6-07256e2b78d0" userProvider="AD" userName="Marianna Asatryan"/>
        <t:Anchor>
          <t:Comment id="1927207579"/>
        </t:Anchor>
        <t:SetTitle title="@Bryony Collis, yes with this word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3275">
      <w:bodyDiv w:val="1"/>
      <w:marLeft w:val="0"/>
      <w:marRight w:val="0"/>
      <w:marTop w:val="0"/>
      <w:marBottom w:val="0"/>
      <w:divBdr>
        <w:top w:val="none" w:sz="0" w:space="0" w:color="auto"/>
        <w:left w:val="none" w:sz="0" w:space="0" w:color="auto"/>
        <w:bottom w:val="none" w:sz="0" w:space="0" w:color="auto"/>
        <w:right w:val="none" w:sz="0" w:space="0" w:color="auto"/>
      </w:divBdr>
    </w:div>
    <w:div w:id="428039452">
      <w:bodyDiv w:val="1"/>
      <w:marLeft w:val="0"/>
      <w:marRight w:val="0"/>
      <w:marTop w:val="0"/>
      <w:marBottom w:val="0"/>
      <w:divBdr>
        <w:top w:val="none" w:sz="0" w:space="0" w:color="auto"/>
        <w:left w:val="none" w:sz="0" w:space="0" w:color="auto"/>
        <w:bottom w:val="none" w:sz="0" w:space="0" w:color="auto"/>
        <w:right w:val="none" w:sz="0" w:space="0" w:color="auto"/>
      </w:divBdr>
    </w:div>
    <w:div w:id="933973701">
      <w:bodyDiv w:val="1"/>
      <w:marLeft w:val="0"/>
      <w:marRight w:val="0"/>
      <w:marTop w:val="0"/>
      <w:marBottom w:val="0"/>
      <w:divBdr>
        <w:top w:val="none" w:sz="0" w:space="0" w:color="auto"/>
        <w:left w:val="none" w:sz="0" w:space="0" w:color="auto"/>
        <w:bottom w:val="none" w:sz="0" w:space="0" w:color="auto"/>
        <w:right w:val="none" w:sz="0" w:space="0" w:color="auto"/>
      </w:divBdr>
    </w:div>
    <w:div w:id="1743135498">
      <w:bodyDiv w:val="1"/>
      <w:marLeft w:val="0"/>
      <w:marRight w:val="0"/>
      <w:marTop w:val="0"/>
      <w:marBottom w:val="0"/>
      <w:divBdr>
        <w:top w:val="none" w:sz="0" w:space="0" w:color="auto"/>
        <w:left w:val="none" w:sz="0" w:space="0" w:color="auto"/>
        <w:bottom w:val="none" w:sz="0" w:space="0" w:color="auto"/>
        <w:right w:val="none" w:sz="0" w:space="0" w:color="auto"/>
      </w:divBdr>
    </w:div>
    <w:div w:id="1885940742">
      <w:bodyDiv w:val="1"/>
      <w:marLeft w:val="0"/>
      <w:marRight w:val="0"/>
      <w:marTop w:val="0"/>
      <w:marBottom w:val="0"/>
      <w:divBdr>
        <w:top w:val="none" w:sz="0" w:space="0" w:color="auto"/>
        <w:left w:val="none" w:sz="0" w:space="0" w:color="auto"/>
        <w:bottom w:val="none" w:sz="0" w:space="0" w:color="auto"/>
        <w:right w:val="none" w:sz="0" w:space="0" w:color="auto"/>
      </w:divBdr>
    </w:div>
    <w:div w:id="19551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3f72eca320ed473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a6a09e737f146c6" Type="http://schemas.microsoft.com/office/2016/09/relationships/commentsIds" Target="commentsIds.xml"/><Relationship Id="R45d14ea680e749a8" Type="http://schemas.microsoft.com/office/2019/05/relationships/documenttasks" Target="task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governance.admin.ox.ac.uk/data-risk-management" TargetMode="External"/><Relationship Id="rId2" Type="http://schemas.openxmlformats.org/officeDocument/2006/relationships/hyperlink" Target="https://governance.admin.ox.ac.uk/data-risk-management" TargetMode="External"/><Relationship Id="rId1" Type="http://schemas.openxmlformats.org/officeDocument/2006/relationships/hyperlink" Target="https://governance.admin.ox.ac.uk/data-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1" ma:contentTypeDescription="Create a new document." ma:contentTypeScope="" ma:versionID="1e9a59944ebc5bfcefa4de02833b0f0a">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b8137dc8771541a3945cf92db7c53bae"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6985-67BF-496B-9CB2-DE31052EB69A}">
  <ds:schemaRefs>
    <ds:schemaRef ds:uri="http://schemas.microsoft.com/sharepoint/v3/contenttype/forms"/>
  </ds:schemaRefs>
</ds:datastoreItem>
</file>

<file path=customXml/itemProps2.xml><?xml version="1.0" encoding="utf-8"?>
<ds:datastoreItem xmlns:ds="http://schemas.openxmlformats.org/officeDocument/2006/customXml" ds:itemID="{D3879A57-E1AE-4E3A-AA97-FDADE7571441}">
  <ds:schemaRefs>
    <ds:schemaRef ds:uri="cf0dfbcc-b360-4cf7-9bf5-370ba522dbe9"/>
    <ds:schemaRef ds:uri="http://purl.org/dc/elements/1.1/"/>
    <ds:schemaRef ds:uri="83c9eb58-c16a-4eef-9abf-4aeec758fe0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E646496-538B-4662-B783-1934EEF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21139-485B-44AC-8072-591C0958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Silva</dc:creator>
  <cp:keywords/>
  <dc:description/>
  <cp:lastModifiedBy>Bryony Collis</cp:lastModifiedBy>
  <cp:revision>3</cp:revision>
  <cp:lastPrinted>2019-05-22T14:30:00Z</cp:lastPrinted>
  <dcterms:created xsi:type="dcterms:W3CDTF">2021-05-10T12:22:00Z</dcterms:created>
  <dcterms:modified xsi:type="dcterms:W3CDTF">2021-05-10T12:23:00Z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